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93" w:rsidRDefault="00CF1BD5" w:rsidP="00167B93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572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B93">
        <w:rPr>
          <w:noProof/>
        </w:rPr>
        <w:t xml:space="preserve"> 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167B93" w:rsidRPr="00EB130C" w:rsidTr="001C6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8"/>
        </w:trPr>
        <w:tc>
          <w:tcPr>
            <w:tcW w:w="9540" w:type="dxa"/>
            <w:gridSpan w:val="4"/>
          </w:tcPr>
          <w:p w:rsidR="00167B93" w:rsidRPr="00EB130C" w:rsidRDefault="00167B93" w:rsidP="001C6C3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0C"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167B93" w:rsidRPr="00EB130C" w:rsidRDefault="00167B93" w:rsidP="001C6C32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0C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167B93" w:rsidRPr="00EB130C" w:rsidRDefault="00167B93" w:rsidP="001C6C32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130C"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167B93" w:rsidRPr="00EB130C" w:rsidTr="001C6C3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167B93" w:rsidRPr="00CF1BD5" w:rsidRDefault="00CF1BD5" w:rsidP="001C6C32">
            <w:pPr>
              <w:tabs>
                <w:tab w:val="left" w:pos="2765"/>
              </w:tabs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11.09.2013</w:t>
            </w:r>
          </w:p>
        </w:tc>
        <w:tc>
          <w:tcPr>
            <w:tcW w:w="2873" w:type="dxa"/>
          </w:tcPr>
          <w:p w:rsidR="00167B93" w:rsidRPr="009D0283" w:rsidRDefault="00167B93" w:rsidP="001C6C32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167B93" w:rsidRPr="00EB130C" w:rsidRDefault="00167B93" w:rsidP="001C6C3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130C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167B93" w:rsidRPr="00CF1BD5" w:rsidRDefault="00CF1BD5" w:rsidP="001C6C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540</w:t>
            </w:r>
          </w:p>
        </w:tc>
      </w:tr>
      <w:tr w:rsidR="00167B93" w:rsidRPr="00EB130C" w:rsidTr="001C6C3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167B93" w:rsidRDefault="00167B93" w:rsidP="00365955">
            <w:pPr>
              <w:tabs>
                <w:tab w:val="left" w:pos="2765"/>
              </w:tabs>
              <w:spacing w:before="2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0C"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365955" w:rsidRDefault="00365955" w:rsidP="001C6C32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7B93" w:rsidRDefault="00167B93" w:rsidP="001C6C32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414">
              <w:rPr>
                <w:rFonts w:ascii="Times New Roman" w:hAnsi="Times New Roman"/>
                <w:b/>
                <w:sz w:val="28"/>
                <w:szCs w:val="28"/>
              </w:rPr>
              <w:t>Об утверждении муниципальной программы Тужинского муниципального района «Развитие физической культуры и спорта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B03414">
              <w:rPr>
                <w:rFonts w:ascii="Times New Roman" w:hAnsi="Times New Roman"/>
                <w:b/>
                <w:sz w:val="28"/>
                <w:szCs w:val="28"/>
              </w:rPr>
              <w:t xml:space="preserve"> на 2014-2016 годы</w:t>
            </w:r>
          </w:p>
          <w:p w:rsidR="0069688A" w:rsidRPr="00B03414" w:rsidRDefault="0069688A" w:rsidP="001C6C32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67B93" w:rsidRDefault="00167B93" w:rsidP="00167B93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Style w:val="FontStyle13"/>
          <w:sz w:val="28"/>
          <w:szCs w:val="28"/>
        </w:rPr>
        <w:t xml:space="preserve">В соответствии постановлениями администрации Тужинского муниципального района от 23.07.2013 №410 «Об утверждении перечня муниципальных программ Тужинского муниципального района, предлагаемых к реализации в очередном 2014 году и плановом периоде до 2015-2016 годах и от 06.06.2013 №314 «О разработке, реализации и оценке эффективности реализации муниципальных программ Тужинского муниципального района» администрация Тужинского района  </w:t>
      </w:r>
      <w:r>
        <w:rPr>
          <w:rFonts w:ascii="Times New Roman" w:hAnsi="Times New Roman"/>
          <w:sz w:val="28"/>
          <w:szCs w:val="28"/>
        </w:rPr>
        <w:t>ПОСТАНОВЛЯЕТ:</w:t>
      </w:r>
    </w:p>
    <w:p w:rsidR="00167B93" w:rsidRDefault="00167B93" w:rsidP="00167B93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 Утвердить муниципальную программу Тужинского муниципального района «Развитие физической культ</w:t>
      </w:r>
      <w:r w:rsidR="0069688A">
        <w:rPr>
          <w:rStyle w:val="FontStyle13"/>
          <w:sz w:val="28"/>
          <w:szCs w:val="28"/>
        </w:rPr>
        <w:t xml:space="preserve">уры и спорта» на 2014-2016 годы. </w:t>
      </w:r>
      <w:r>
        <w:rPr>
          <w:rStyle w:val="FontStyle13"/>
          <w:sz w:val="28"/>
          <w:szCs w:val="28"/>
        </w:rPr>
        <w:t>Прилагается.</w:t>
      </w:r>
    </w:p>
    <w:p w:rsidR="00167B93" w:rsidRDefault="00167B93" w:rsidP="00167B93">
      <w:pPr>
        <w:pStyle w:val="Style7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 2.</w:t>
      </w:r>
      <w:r>
        <w:rPr>
          <w:rStyle w:val="FontStyle13"/>
          <w:sz w:val="28"/>
          <w:szCs w:val="28"/>
        </w:rPr>
        <w:tab/>
      </w:r>
      <w:r w:rsidR="0069688A" w:rsidRPr="0069688A">
        <w:rPr>
          <w:rFonts w:ascii="Times New Roman" w:hAnsi="Times New Roman"/>
          <w:sz w:val="28"/>
          <w:szCs w:val="28"/>
        </w:rPr>
        <w:t>Признать утратившими силу с 1 января 2014 года в связи с изменением действующего законодательства:</w:t>
      </w:r>
    </w:p>
    <w:p w:rsidR="0069688A" w:rsidRDefault="0069688A" w:rsidP="00167B93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Постановление администрации Тужинского муниципального района от 21.10.2011 №550 «Об утверждении муниципальной целевой программы «Развитие физической культуры и спорта в Тужинском районе» на 2012-2014 годы»;</w:t>
      </w:r>
    </w:p>
    <w:p w:rsidR="0069688A" w:rsidRDefault="0069688A" w:rsidP="00167B93">
      <w:pPr>
        <w:pStyle w:val="Style7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Постановление администрации Тужинского муниципального района от 25.10.2012 №611 « </w:t>
      </w:r>
      <w:r w:rsidRPr="0069688A">
        <w:rPr>
          <w:rFonts w:ascii="Times New Roman" w:hAnsi="Times New Roman"/>
          <w:sz w:val="28"/>
          <w:szCs w:val="28"/>
        </w:rPr>
        <w:t>О внесении изменений в муниципальную целевую программу «Развитие физической культуры и спорта в Тужинском районе» на 2012-2014 годы»</w:t>
      </w:r>
      <w:r>
        <w:rPr>
          <w:rFonts w:ascii="Times New Roman" w:hAnsi="Times New Roman"/>
          <w:sz w:val="28"/>
          <w:szCs w:val="28"/>
        </w:rPr>
        <w:t>;</w:t>
      </w:r>
    </w:p>
    <w:p w:rsidR="00F969D2" w:rsidRDefault="00F969D2" w:rsidP="00F969D2">
      <w:pPr>
        <w:pStyle w:val="Style7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Постановление администрации Тужинского муниципального района от 26.02.2013 №86 « </w:t>
      </w:r>
      <w:r w:rsidRPr="0069688A">
        <w:rPr>
          <w:rFonts w:ascii="Times New Roman" w:hAnsi="Times New Roman"/>
          <w:sz w:val="28"/>
          <w:szCs w:val="28"/>
        </w:rPr>
        <w:t>О внесении изменений в муниципальную целевую программу «Развитие физической культуры и спорта в Тужинском районе» на 2012-2014 годы»</w:t>
      </w:r>
      <w:r>
        <w:rPr>
          <w:rFonts w:ascii="Times New Roman" w:hAnsi="Times New Roman"/>
          <w:sz w:val="28"/>
          <w:szCs w:val="28"/>
        </w:rPr>
        <w:t>;</w:t>
      </w:r>
    </w:p>
    <w:p w:rsidR="0069688A" w:rsidRDefault="0069688A" w:rsidP="0069688A">
      <w:pPr>
        <w:pStyle w:val="Style7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Постановление администрации Тужинского муниципального района от 05.03.2013 №93 </w:t>
      </w:r>
      <w:r w:rsidRPr="0069688A">
        <w:rPr>
          <w:rStyle w:val="FontStyle13"/>
          <w:sz w:val="28"/>
          <w:szCs w:val="28"/>
        </w:rPr>
        <w:t>«</w:t>
      </w:r>
      <w:r w:rsidRPr="0069688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Тужинского муниципального района от 21.10.2011 №550»;</w:t>
      </w:r>
    </w:p>
    <w:p w:rsidR="0069688A" w:rsidRDefault="00F969D2" w:rsidP="00F969D2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Постановление администрации Тужинского муниципального района от 18.04.2013 №205 </w:t>
      </w:r>
      <w:r w:rsidRPr="0069688A">
        <w:rPr>
          <w:rStyle w:val="FontStyle13"/>
          <w:sz w:val="28"/>
          <w:szCs w:val="28"/>
        </w:rPr>
        <w:t>«</w:t>
      </w:r>
      <w:r w:rsidRPr="0069688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Тужинского муниципального района от 21.10.2011 №550»</w:t>
      </w:r>
      <w:r>
        <w:rPr>
          <w:rFonts w:ascii="Times New Roman" w:hAnsi="Times New Roman"/>
          <w:sz w:val="28"/>
          <w:szCs w:val="28"/>
        </w:rPr>
        <w:t>.</w:t>
      </w:r>
    </w:p>
    <w:p w:rsidR="00167B93" w:rsidRDefault="00167B93" w:rsidP="00167B93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 О</w:t>
      </w:r>
      <w:r>
        <w:rPr>
          <w:rFonts w:ascii="Times New Roman" w:hAnsi="Times New Roman"/>
          <w:bCs/>
          <w:sz w:val="28"/>
          <w:szCs w:val="28"/>
        </w:rPr>
        <w:t>публиковать настоящее постановление</w:t>
      </w:r>
      <w:r w:rsidRPr="00252419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</w:t>
      </w:r>
      <w:r>
        <w:rPr>
          <w:rFonts w:ascii="Times New Roman" w:hAnsi="Times New Roman"/>
          <w:bCs/>
          <w:sz w:val="28"/>
          <w:szCs w:val="28"/>
        </w:rPr>
        <w:t xml:space="preserve">равовых актов органов местного </w:t>
      </w:r>
      <w:r w:rsidRPr="00252419">
        <w:rPr>
          <w:rFonts w:ascii="Times New Roman" w:hAnsi="Times New Roman"/>
          <w:bCs/>
          <w:sz w:val="28"/>
          <w:szCs w:val="28"/>
        </w:rPr>
        <w:t>самоуправления Тужинского муниципального района Кировской области</w:t>
      </w:r>
      <w:r>
        <w:rPr>
          <w:rStyle w:val="FontStyle13"/>
          <w:sz w:val="28"/>
          <w:szCs w:val="28"/>
        </w:rPr>
        <w:t>.</w:t>
      </w:r>
    </w:p>
    <w:p w:rsidR="00167B93" w:rsidRDefault="00167B93" w:rsidP="00167B93">
      <w:pPr>
        <w:pStyle w:val="Style7"/>
        <w:widowControl/>
        <w:spacing w:after="720" w:line="360" w:lineRule="auto"/>
        <w:ind w:left="708" w:firstLine="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4. Настоящее постановление вступает в силу с 01.01.2014.                              5.  Контроль за исполнением постановления оставляю за собой.        </w:t>
      </w:r>
    </w:p>
    <w:p w:rsidR="00167B93" w:rsidRDefault="00167B93" w:rsidP="00F969D2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8357DC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8357DC">
        <w:rPr>
          <w:rFonts w:ascii="Times New Roman" w:hAnsi="Times New Roman"/>
          <w:sz w:val="28"/>
          <w:szCs w:val="28"/>
        </w:rPr>
        <w:tab/>
      </w:r>
    </w:p>
    <w:p w:rsidR="00167B93" w:rsidRDefault="00167B93" w:rsidP="00F969D2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8357DC">
        <w:rPr>
          <w:rFonts w:ascii="Times New Roman" w:hAnsi="Times New Roman"/>
          <w:sz w:val="28"/>
          <w:szCs w:val="28"/>
        </w:rPr>
        <w:t xml:space="preserve">Тужинского муниципального района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969D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Е.В. Видякина</w:t>
      </w:r>
    </w:p>
    <w:p w:rsidR="00F969D2" w:rsidRDefault="00F969D2" w:rsidP="00167B93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969D2" w:rsidRDefault="00F969D2" w:rsidP="00167B93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969D2" w:rsidRPr="00167B93" w:rsidRDefault="00F969D2" w:rsidP="00167B93">
      <w:pPr>
        <w:pStyle w:val="Style7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969D2" w:rsidRDefault="00F969D2" w:rsidP="00F969D2">
      <w:pPr>
        <w:spacing w:after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ПОДГОТОВЛЕНО</w:t>
      </w:r>
    </w:p>
    <w:p w:rsidR="00F969D2" w:rsidRDefault="00F969D2" w:rsidP="00871F45">
      <w:pPr>
        <w:spacing w:after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по физической                                                             культуре и спорту администрации                                                             Тужинского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71F4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А.Н.Чесноков</w:t>
      </w:r>
    </w:p>
    <w:p w:rsidR="00F969D2" w:rsidRDefault="00F969D2" w:rsidP="00871F45">
      <w:pPr>
        <w:spacing w:after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F969D2" w:rsidRPr="009D6A96" w:rsidRDefault="00F969D2" w:rsidP="00871F4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6A96">
        <w:rPr>
          <w:rFonts w:ascii="Times New Roman" w:hAnsi="Times New Roman"/>
          <w:color w:val="000000"/>
          <w:sz w:val="28"/>
          <w:szCs w:val="28"/>
        </w:rPr>
        <w:t xml:space="preserve">Начальник Финансового управления                                                </w:t>
      </w:r>
    </w:p>
    <w:p w:rsidR="00F969D2" w:rsidRPr="009D6A96" w:rsidRDefault="00F969D2" w:rsidP="00871F4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6A96">
        <w:rPr>
          <w:rFonts w:ascii="Times New Roman" w:hAnsi="Times New Roman"/>
          <w:color w:val="000000"/>
          <w:sz w:val="28"/>
          <w:szCs w:val="28"/>
        </w:rPr>
        <w:t>администрации Тужинского</w:t>
      </w:r>
    </w:p>
    <w:p w:rsidR="00F969D2" w:rsidRPr="009D6A96" w:rsidRDefault="00F969D2" w:rsidP="00871F4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6A96"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D6A96">
        <w:rPr>
          <w:rFonts w:ascii="Times New Roman" w:hAnsi="Times New Roman"/>
          <w:color w:val="000000"/>
          <w:sz w:val="28"/>
          <w:szCs w:val="28"/>
        </w:rPr>
        <w:t xml:space="preserve">района                                               </w:t>
      </w:r>
      <w:r w:rsidR="00871F45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9D6A96">
        <w:rPr>
          <w:rFonts w:ascii="Times New Roman" w:hAnsi="Times New Roman"/>
          <w:color w:val="000000"/>
          <w:sz w:val="28"/>
          <w:szCs w:val="28"/>
        </w:rPr>
        <w:t xml:space="preserve">        И.Н.Докучаева</w:t>
      </w:r>
    </w:p>
    <w:p w:rsidR="00F969D2" w:rsidRPr="009D6A96" w:rsidRDefault="00871F45" w:rsidP="00F969D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69D2" w:rsidRPr="009D6A96" w:rsidRDefault="00F969D2" w:rsidP="00871F4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6A96">
        <w:rPr>
          <w:rFonts w:ascii="Times New Roman" w:hAnsi="Times New Roman"/>
          <w:color w:val="000000"/>
          <w:sz w:val="28"/>
          <w:szCs w:val="28"/>
        </w:rPr>
        <w:lastRenderedPageBreak/>
        <w:t>Заведующая отделом</w:t>
      </w:r>
    </w:p>
    <w:p w:rsidR="00F969D2" w:rsidRPr="009D6A96" w:rsidRDefault="00F969D2" w:rsidP="00871F4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6A96">
        <w:rPr>
          <w:rFonts w:ascii="Times New Roman" w:hAnsi="Times New Roman"/>
          <w:color w:val="000000"/>
          <w:sz w:val="28"/>
          <w:szCs w:val="28"/>
        </w:rPr>
        <w:t>по экономике и прогнозированию</w:t>
      </w:r>
    </w:p>
    <w:p w:rsidR="00F969D2" w:rsidRPr="009D6A96" w:rsidRDefault="00F969D2" w:rsidP="00871F4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6A96">
        <w:rPr>
          <w:rFonts w:ascii="Times New Roman" w:hAnsi="Times New Roman"/>
          <w:color w:val="000000"/>
          <w:sz w:val="28"/>
          <w:szCs w:val="28"/>
        </w:rPr>
        <w:t xml:space="preserve">администрации Тужинского </w:t>
      </w:r>
    </w:p>
    <w:p w:rsidR="00F969D2" w:rsidRDefault="00F969D2" w:rsidP="00871F4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6A96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9D6A96">
        <w:rPr>
          <w:rFonts w:ascii="Times New Roman" w:hAnsi="Times New Roman"/>
          <w:color w:val="000000"/>
          <w:sz w:val="28"/>
          <w:szCs w:val="28"/>
        </w:rPr>
        <w:t>Г.А. Клепцова</w:t>
      </w:r>
    </w:p>
    <w:p w:rsidR="00871F45" w:rsidRPr="009D6A96" w:rsidRDefault="00871F45" w:rsidP="00871F4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9D2" w:rsidRPr="009D6A96" w:rsidRDefault="00F969D2" w:rsidP="00871F4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9D6A96">
        <w:rPr>
          <w:rFonts w:ascii="Times New Roman" w:hAnsi="Times New Roman"/>
          <w:color w:val="000000"/>
          <w:sz w:val="28"/>
          <w:szCs w:val="28"/>
        </w:rPr>
        <w:t>правляющий делами</w:t>
      </w:r>
    </w:p>
    <w:p w:rsidR="00F969D2" w:rsidRPr="009D6A96" w:rsidRDefault="00F969D2" w:rsidP="00871F4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6A96">
        <w:rPr>
          <w:rFonts w:ascii="Times New Roman" w:hAnsi="Times New Roman"/>
          <w:color w:val="000000"/>
          <w:sz w:val="28"/>
          <w:szCs w:val="28"/>
        </w:rPr>
        <w:t xml:space="preserve">администрации Тужинского </w:t>
      </w:r>
    </w:p>
    <w:p w:rsidR="00F969D2" w:rsidRDefault="00F969D2" w:rsidP="00871F4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6A96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                                                       Л.В. Бледных  </w:t>
      </w:r>
    </w:p>
    <w:p w:rsidR="00871F45" w:rsidRPr="009D6A96" w:rsidRDefault="00871F45" w:rsidP="00871F4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9D2" w:rsidRDefault="00F969D2" w:rsidP="00871F4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6A96">
        <w:rPr>
          <w:rFonts w:ascii="Times New Roman" w:hAnsi="Times New Roman"/>
          <w:color w:val="000000"/>
          <w:sz w:val="28"/>
          <w:szCs w:val="28"/>
        </w:rPr>
        <w:t xml:space="preserve">Ведущий специалист-юрист </w:t>
      </w:r>
    </w:p>
    <w:p w:rsidR="00871F45" w:rsidRDefault="00871F45" w:rsidP="00871F4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отдела юридического обеспечения</w:t>
      </w:r>
    </w:p>
    <w:p w:rsidR="00871F45" w:rsidRPr="009D6A96" w:rsidRDefault="00871F45" w:rsidP="00871F4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управления делами</w:t>
      </w:r>
    </w:p>
    <w:p w:rsidR="00F969D2" w:rsidRPr="009D6A96" w:rsidRDefault="00F969D2" w:rsidP="00871F45">
      <w:pPr>
        <w:spacing w:after="0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9D6A96">
        <w:rPr>
          <w:rFonts w:ascii="Times New Roman" w:hAnsi="Times New Roman"/>
          <w:color w:val="000000"/>
          <w:sz w:val="28"/>
          <w:szCs w:val="28"/>
        </w:rPr>
        <w:t xml:space="preserve">администрации Тужинского </w:t>
      </w:r>
    </w:p>
    <w:p w:rsidR="00F969D2" w:rsidRPr="009D6A96" w:rsidRDefault="00F969D2" w:rsidP="00871F45">
      <w:pPr>
        <w:spacing w:after="0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9D6A96">
        <w:rPr>
          <w:rFonts w:ascii="Times New Roman" w:hAnsi="Times New Roman"/>
          <w:color w:val="000000"/>
          <w:sz w:val="28"/>
          <w:szCs w:val="28"/>
        </w:rPr>
        <w:t>муниципального района                                                          А.Ю. Еськова</w:t>
      </w:r>
    </w:p>
    <w:p w:rsidR="00F969D2" w:rsidRPr="009D6A96" w:rsidRDefault="00F969D2" w:rsidP="00F969D2">
      <w:pPr>
        <w:spacing w:after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9D6A9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69D2" w:rsidRDefault="00F969D2" w:rsidP="00F969D2">
      <w:pPr>
        <w:spacing w:after="480"/>
        <w:jc w:val="both"/>
      </w:pPr>
      <w:r w:rsidRPr="009D6A96">
        <w:rPr>
          <w:rFonts w:ascii="Times New Roman" w:hAnsi="Times New Roman"/>
          <w:color w:val="000000"/>
          <w:sz w:val="28"/>
          <w:szCs w:val="28"/>
        </w:rPr>
        <w:t xml:space="preserve">Разослать: дело, прокуратура, отдел </w:t>
      </w:r>
      <w:r>
        <w:rPr>
          <w:rFonts w:ascii="Times New Roman" w:hAnsi="Times New Roman"/>
          <w:color w:val="000000"/>
          <w:sz w:val="28"/>
          <w:szCs w:val="28"/>
        </w:rPr>
        <w:t>социальных отношений</w:t>
      </w:r>
      <w:r w:rsidRPr="009D6A96">
        <w:rPr>
          <w:rFonts w:ascii="Times New Roman" w:hAnsi="Times New Roman"/>
          <w:color w:val="000000"/>
          <w:sz w:val="28"/>
          <w:szCs w:val="28"/>
        </w:rPr>
        <w:t>, бюллетень, ФУ, отдел по экономике и прогнозированию.</w:t>
      </w:r>
    </w:p>
    <w:p w:rsidR="00167B93" w:rsidRDefault="00167B93">
      <w:pPr>
        <w:spacing w:after="0"/>
        <w:jc w:val="right"/>
        <w:rPr>
          <w:rFonts w:ascii="Times New Roman" w:hAnsi="Times New Roman"/>
          <w:sz w:val="28"/>
        </w:rPr>
      </w:pPr>
    </w:p>
    <w:p w:rsidR="00167B93" w:rsidRDefault="00167B93">
      <w:pPr>
        <w:spacing w:after="0"/>
        <w:jc w:val="right"/>
        <w:rPr>
          <w:rFonts w:ascii="Times New Roman" w:hAnsi="Times New Roman"/>
          <w:sz w:val="28"/>
        </w:rPr>
      </w:pPr>
    </w:p>
    <w:p w:rsidR="00F969D2" w:rsidRDefault="00F969D2">
      <w:pPr>
        <w:spacing w:after="0"/>
        <w:jc w:val="right"/>
        <w:rPr>
          <w:rFonts w:ascii="Times New Roman" w:hAnsi="Times New Roman"/>
          <w:sz w:val="28"/>
        </w:rPr>
      </w:pPr>
    </w:p>
    <w:p w:rsidR="00F969D2" w:rsidRDefault="00F969D2">
      <w:pPr>
        <w:spacing w:after="0"/>
        <w:jc w:val="right"/>
        <w:rPr>
          <w:rFonts w:ascii="Times New Roman" w:hAnsi="Times New Roman"/>
          <w:sz w:val="28"/>
        </w:rPr>
      </w:pPr>
    </w:p>
    <w:p w:rsidR="00F969D2" w:rsidRDefault="00F969D2">
      <w:pPr>
        <w:spacing w:after="0"/>
        <w:jc w:val="right"/>
        <w:rPr>
          <w:rFonts w:ascii="Times New Roman" w:hAnsi="Times New Roman"/>
          <w:sz w:val="28"/>
        </w:rPr>
      </w:pPr>
    </w:p>
    <w:p w:rsidR="00F969D2" w:rsidRDefault="00F969D2">
      <w:pPr>
        <w:spacing w:after="0"/>
        <w:jc w:val="right"/>
        <w:rPr>
          <w:rFonts w:ascii="Times New Roman" w:hAnsi="Times New Roman"/>
          <w:sz w:val="28"/>
        </w:rPr>
      </w:pPr>
    </w:p>
    <w:p w:rsidR="00F969D2" w:rsidRDefault="00F969D2">
      <w:pPr>
        <w:spacing w:after="0"/>
        <w:jc w:val="right"/>
        <w:rPr>
          <w:rFonts w:ascii="Times New Roman" w:hAnsi="Times New Roman"/>
          <w:sz w:val="28"/>
        </w:rPr>
      </w:pPr>
    </w:p>
    <w:p w:rsidR="00F969D2" w:rsidRDefault="00F969D2">
      <w:pPr>
        <w:spacing w:after="0"/>
        <w:jc w:val="right"/>
        <w:rPr>
          <w:rFonts w:ascii="Times New Roman" w:hAnsi="Times New Roman"/>
          <w:sz w:val="28"/>
        </w:rPr>
      </w:pPr>
    </w:p>
    <w:p w:rsidR="00F969D2" w:rsidRDefault="00F969D2">
      <w:pPr>
        <w:spacing w:after="0"/>
        <w:jc w:val="right"/>
        <w:rPr>
          <w:rFonts w:ascii="Times New Roman" w:hAnsi="Times New Roman"/>
          <w:sz w:val="28"/>
        </w:rPr>
      </w:pPr>
    </w:p>
    <w:p w:rsidR="00F969D2" w:rsidRDefault="00F969D2">
      <w:pPr>
        <w:spacing w:after="0"/>
        <w:jc w:val="right"/>
        <w:rPr>
          <w:rFonts w:ascii="Times New Roman" w:hAnsi="Times New Roman"/>
          <w:sz w:val="28"/>
        </w:rPr>
      </w:pPr>
    </w:p>
    <w:p w:rsidR="00F969D2" w:rsidRDefault="00F969D2">
      <w:pPr>
        <w:spacing w:after="0"/>
        <w:jc w:val="right"/>
        <w:rPr>
          <w:rFonts w:ascii="Times New Roman" w:hAnsi="Times New Roman"/>
          <w:sz w:val="28"/>
        </w:rPr>
      </w:pPr>
    </w:p>
    <w:p w:rsidR="00F969D2" w:rsidRDefault="00F969D2">
      <w:pPr>
        <w:spacing w:after="0"/>
        <w:jc w:val="right"/>
        <w:rPr>
          <w:rFonts w:ascii="Times New Roman" w:hAnsi="Times New Roman"/>
          <w:sz w:val="28"/>
        </w:rPr>
      </w:pPr>
    </w:p>
    <w:p w:rsidR="00871F45" w:rsidRDefault="00871F45">
      <w:pPr>
        <w:spacing w:after="0"/>
        <w:jc w:val="right"/>
        <w:rPr>
          <w:rFonts w:ascii="Times New Roman" w:hAnsi="Times New Roman"/>
          <w:sz w:val="28"/>
        </w:rPr>
      </w:pPr>
    </w:p>
    <w:p w:rsidR="00871F45" w:rsidRDefault="00871F45">
      <w:pPr>
        <w:spacing w:after="0"/>
        <w:jc w:val="right"/>
        <w:rPr>
          <w:rFonts w:ascii="Times New Roman" w:hAnsi="Times New Roman"/>
          <w:sz w:val="28"/>
        </w:rPr>
      </w:pPr>
    </w:p>
    <w:p w:rsidR="00871F45" w:rsidRDefault="00871F45">
      <w:pPr>
        <w:spacing w:after="0"/>
        <w:jc w:val="right"/>
        <w:rPr>
          <w:rFonts w:ascii="Times New Roman" w:hAnsi="Times New Roman"/>
          <w:sz w:val="28"/>
        </w:rPr>
      </w:pPr>
    </w:p>
    <w:p w:rsidR="00871F45" w:rsidRDefault="00871F45">
      <w:pPr>
        <w:spacing w:after="0"/>
        <w:jc w:val="right"/>
        <w:rPr>
          <w:rFonts w:ascii="Times New Roman" w:hAnsi="Times New Roman"/>
          <w:sz w:val="28"/>
        </w:rPr>
      </w:pPr>
    </w:p>
    <w:p w:rsidR="00871F45" w:rsidRDefault="00871F45">
      <w:pPr>
        <w:spacing w:after="0"/>
        <w:jc w:val="right"/>
        <w:rPr>
          <w:rFonts w:ascii="Times New Roman" w:hAnsi="Times New Roman"/>
          <w:sz w:val="28"/>
        </w:rPr>
      </w:pPr>
    </w:p>
    <w:p w:rsidR="00871F45" w:rsidRDefault="00871F45">
      <w:pPr>
        <w:spacing w:after="0"/>
        <w:jc w:val="right"/>
        <w:rPr>
          <w:rFonts w:ascii="Times New Roman" w:hAnsi="Times New Roman"/>
          <w:sz w:val="28"/>
        </w:rPr>
      </w:pPr>
    </w:p>
    <w:p w:rsidR="00871F45" w:rsidRDefault="00871F45">
      <w:pPr>
        <w:spacing w:after="0"/>
        <w:jc w:val="right"/>
        <w:rPr>
          <w:rFonts w:ascii="Times New Roman" w:hAnsi="Times New Roman"/>
          <w:sz w:val="28"/>
        </w:rPr>
      </w:pPr>
    </w:p>
    <w:p w:rsidR="00871F45" w:rsidRDefault="00871F45">
      <w:pPr>
        <w:spacing w:after="0"/>
        <w:jc w:val="right"/>
        <w:rPr>
          <w:rFonts w:ascii="Times New Roman" w:hAnsi="Times New Roman"/>
          <w:sz w:val="28"/>
        </w:rPr>
      </w:pPr>
    </w:p>
    <w:p w:rsidR="00871F45" w:rsidRDefault="00871F45">
      <w:pPr>
        <w:spacing w:after="0"/>
        <w:jc w:val="right"/>
        <w:rPr>
          <w:rFonts w:ascii="Times New Roman" w:hAnsi="Times New Roman"/>
          <w:sz w:val="28"/>
        </w:rPr>
      </w:pPr>
    </w:p>
    <w:p w:rsidR="00871F45" w:rsidRDefault="00871F45">
      <w:pPr>
        <w:spacing w:after="0"/>
        <w:jc w:val="right"/>
        <w:rPr>
          <w:rFonts w:ascii="Times New Roman" w:hAnsi="Times New Roman"/>
          <w:sz w:val="28"/>
        </w:rPr>
      </w:pPr>
    </w:p>
    <w:p w:rsidR="00871F45" w:rsidRDefault="00871F45">
      <w:pPr>
        <w:spacing w:after="0"/>
        <w:jc w:val="right"/>
        <w:rPr>
          <w:rFonts w:ascii="Times New Roman" w:hAnsi="Times New Roman"/>
          <w:sz w:val="28"/>
        </w:rPr>
      </w:pPr>
    </w:p>
    <w:p w:rsidR="00871F45" w:rsidRDefault="00871F45">
      <w:pPr>
        <w:spacing w:after="0"/>
        <w:jc w:val="right"/>
        <w:rPr>
          <w:rFonts w:ascii="Times New Roman" w:hAnsi="Times New Roman"/>
          <w:sz w:val="28"/>
        </w:rPr>
      </w:pPr>
    </w:p>
    <w:p w:rsidR="00871F45" w:rsidRDefault="00871F45">
      <w:pPr>
        <w:spacing w:after="0"/>
        <w:jc w:val="right"/>
        <w:rPr>
          <w:rFonts w:ascii="Times New Roman" w:hAnsi="Times New Roman"/>
          <w:sz w:val="28"/>
        </w:rPr>
      </w:pPr>
    </w:p>
    <w:p w:rsidR="00871F45" w:rsidRDefault="00871F45">
      <w:pPr>
        <w:spacing w:after="0"/>
        <w:jc w:val="right"/>
        <w:rPr>
          <w:rFonts w:ascii="Times New Roman" w:hAnsi="Times New Roman"/>
          <w:sz w:val="28"/>
        </w:rPr>
      </w:pPr>
    </w:p>
    <w:p w:rsidR="00871F45" w:rsidRDefault="00871F45">
      <w:pPr>
        <w:spacing w:after="0"/>
        <w:jc w:val="right"/>
        <w:rPr>
          <w:rFonts w:ascii="Times New Roman" w:hAnsi="Times New Roman"/>
          <w:sz w:val="28"/>
        </w:rPr>
      </w:pPr>
    </w:p>
    <w:p w:rsidR="00871F45" w:rsidRDefault="00871F45">
      <w:pPr>
        <w:spacing w:after="0"/>
        <w:jc w:val="right"/>
        <w:rPr>
          <w:rFonts w:ascii="Times New Roman" w:hAnsi="Times New Roman"/>
          <w:sz w:val="28"/>
        </w:rPr>
      </w:pPr>
    </w:p>
    <w:p w:rsidR="00871F45" w:rsidRDefault="00871F45">
      <w:pPr>
        <w:spacing w:after="0"/>
        <w:jc w:val="right"/>
        <w:rPr>
          <w:rFonts w:ascii="Times New Roman" w:hAnsi="Times New Roman"/>
          <w:sz w:val="28"/>
        </w:rPr>
      </w:pPr>
    </w:p>
    <w:p w:rsidR="00F969D2" w:rsidRDefault="00F969D2">
      <w:pPr>
        <w:spacing w:after="0"/>
        <w:jc w:val="right"/>
        <w:rPr>
          <w:rFonts w:ascii="Times New Roman" w:hAnsi="Times New Roman"/>
          <w:sz w:val="28"/>
        </w:rPr>
      </w:pPr>
    </w:p>
    <w:p w:rsidR="00F969D2" w:rsidRDefault="00F969D2">
      <w:pPr>
        <w:spacing w:after="0"/>
        <w:jc w:val="right"/>
        <w:rPr>
          <w:rFonts w:ascii="Times New Roman" w:hAnsi="Times New Roman"/>
          <w:sz w:val="28"/>
        </w:rPr>
      </w:pPr>
    </w:p>
    <w:p w:rsidR="00F969D2" w:rsidRDefault="00F969D2">
      <w:pPr>
        <w:spacing w:after="0"/>
        <w:jc w:val="right"/>
        <w:rPr>
          <w:rFonts w:ascii="Times New Roman" w:hAnsi="Times New Roman"/>
          <w:sz w:val="28"/>
        </w:rPr>
      </w:pPr>
    </w:p>
    <w:p w:rsidR="00F969D2" w:rsidRDefault="00F969D2">
      <w:pPr>
        <w:spacing w:after="0"/>
        <w:jc w:val="right"/>
        <w:rPr>
          <w:rFonts w:ascii="Times New Roman" w:hAnsi="Times New Roman"/>
          <w:sz w:val="28"/>
        </w:rPr>
      </w:pPr>
    </w:p>
    <w:p w:rsidR="00F969D2" w:rsidRDefault="00F969D2">
      <w:pPr>
        <w:spacing w:after="0"/>
        <w:jc w:val="right"/>
        <w:rPr>
          <w:rFonts w:ascii="Times New Roman" w:hAnsi="Times New Roman"/>
          <w:sz w:val="28"/>
        </w:rPr>
      </w:pPr>
    </w:p>
    <w:p w:rsidR="00F969D2" w:rsidRDefault="00F969D2">
      <w:pPr>
        <w:spacing w:after="0"/>
        <w:jc w:val="right"/>
        <w:rPr>
          <w:rFonts w:ascii="Times New Roman" w:hAnsi="Times New Roman"/>
          <w:sz w:val="28"/>
        </w:rPr>
      </w:pPr>
    </w:p>
    <w:p w:rsidR="00F969D2" w:rsidRDefault="00F969D2">
      <w:pPr>
        <w:spacing w:after="0"/>
        <w:jc w:val="right"/>
        <w:rPr>
          <w:rFonts w:ascii="Times New Roman" w:hAnsi="Times New Roman"/>
          <w:sz w:val="28"/>
        </w:rPr>
      </w:pPr>
    </w:p>
    <w:p w:rsidR="00167B93" w:rsidRDefault="00167B93">
      <w:pPr>
        <w:spacing w:after="0"/>
        <w:jc w:val="right"/>
        <w:rPr>
          <w:rFonts w:ascii="Times New Roman" w:hAnsi="Times New Roman"/>
          <w:sz w:val="28"/>
        </w:rPr>
      </w:pPr>
    </w:p>
    <w:p w:rsidR="007201E3" w:rsidRDefault="007201E3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7201E3" w:rsidRDefault="007201E3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7201E3" w:rsidRDefault="007201E3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Тужинского муниципального района</w:t>
      </w:r>
      <w:r>
        <w:rPr>
          <w:rFonts w:ascii="Times New Roman" w:hAnsi="Times New Roman"/>
          <w:sz w:val="28"/>
        </w:rPr>
        <w:tab/>
      </w:r>
    </w:p>
    <w:p w:rsidR="007201E3" w:rsidRDefault="007201E3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Кировской области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7201E3" w:rsidRDefault="0014691C" w:rsidP="0014691C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610CA4">
        <w:rPr>
          <w:rFonts w:ascii="Times New Roman" w:hAnsi="Times New Roman"/>
          <w:sz w:val="28"/>
        </w:rPr>
        <w:t xml:space="preserve">                              </w:t>
      </w:r>
      <w:r w:rsidR="00610CA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</w:t>
      </w:r>
      <w:r w:rsidR="007201E3">
        <w:rPr>
          <w:rFonts w:ascii="Times New Roman" w:hAnsi="Times New Roman"/>
          <w:sz w:val="28"/>
        </w:rPr>
        <w:t>т</w:t>
      </w:r>
      <w:r w:rsidR="00610CA4">
        <w:rPr>
          <w:rFonts w:ascii="Times New Roman" w:hAnsi="Times New Roman"/>
          <w:sz w:val="28"/>
        </w:rPr>
        <w:t xml:space="preserve"> 11.10</w:t>
      </w:r>
      <w:r>
        <w:rPr>
          <w:rFonts w:ascii="Times New Roman" w:hAnsi="Times New Roman"/>
          <w:sz w:val="28"/>
        </w:rPr>
        <w:t xml:space="preserve">.2013 </w:t>
      </w:r>
      <w:r w:rsidR="007201E3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540</w:t>
      </w:r>
      <w:r w:rsidR="007201E3">
        <w:rPr>
          <w:rFonts w:ascii="Times New Roman" w:hAnsi="Times New Roman"/>
          <w:sz w:val="28"/>
        </w:rPr>
        <w:tab/>
      </w:r>
      <w:r w:rsidR="007201E3">
        <w:rPr>
          <w:rFonts w:ascii="Times New Roman" w:hAnsi="Times New Roman"/>
          <w:sz w:val="28"/>
        </w:rPr>
        <w:tab/>
      </w:r>
    </w:p>
    <w:p w:rsidR="007201E3" w:rsidRDefault="007201E3">
      <w:pPr>
        <w:jc w:val="right"/>
        <w:rPr>
          <w:rFonts w:ascii="Times New Roman" w:hAnsi="Times New Roman"/>
          <w:sz w:val="28"/>
        </w:rPr>
      </w:pPr>
    </w:p>
    <w:p w:rsidR="007201E3" w:rsidRDefault="007201E3">
      <w:pPr>
        <w:jc w:val="right"/>
        <w:rPr>
          <w:rFonts w:ascii="Times New Roman" w:hAnsi="Times New Roman"/>
          <w:sz w:val="28"/>
        </w:rPr>
      </w:pPr>
    </w:p>
    <w:p w:rsidR="007201E3" w:rsidRDefault="007201E3">
      <w:pPr>
        <w:jc w:val="right"/>
        <w:rPr>
          <w:rFonts w:ascii="Times New Roman" w:hAnsi="Times New Roman"/>
          <w:sz w:val="28"/>
        </w:rPr>
      </w:pPr>
    </w:p>
    <w:p w:rsidR="007201E3" w:rsidRDefault="007201E3">
      <w:pPr>
        <w:jc w:val="right"/>
        <w:rPr>
          <w:rFonts w:ascii="Times New Roman" w:hAnsi="Times New Roman"/>
          <w:sz w:val="28"/>
        </w:rPr>
      </w:pPr>
    </w:p>
    <w:p w:rsidR="007201E3" w:rsidRDefault="007201E3">
      <w:pPr>
        <w:jc w:val="right"/>
        <w:rPr>
          <w:rFonts w:ascii="Times New Roman" w:hAnsi="Times New Roman"/>
          <w:sz w:val="28"/>
        </w:rPr>
      </w:pPr>
    </w:p>
    <w:p w:rsidR="007201E3" w:rsidRDefault="007201E3">
      <w:pPr>
        <w:jc w:val="right"/>
        <w:rPr>
          <w:rFonts w:ascii="Times New Roman" w:hAnsi="Times New Roman"/>
          <w:sz w:val="28"/>
        </w:rPr>
      </w:pPr>
    </w:p>
    <w:p w:rsidR="007201E3" w:rsidRDefault="007201E3">
      <w:pPr>
        <w:jc w:val="right"/>
        <w:rPr>
          <w:rFonts w:ascii="Times New Roman" w:hAnsi="Times New Roman"/>
          <w:sz w:val="28"/>
        </w:rPr>
      </w:pPr>
    </w:p>
    <w:p w:rsidR="007201E3" w:rsidRDefault="007201E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МУНИЦИПАЛЬНАЯ ПРОГРАММА</w:t>
      </w:r>
    </w:p>
    <w:p w:rsidR="007201E3" w:rsidRDefault="007201E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ТУЖИНСКОГО МУНИЦИПАЛЬНОГО РАЙОНА</w:t>
      </w:r>
    </w:p>
    <w:p w:rsidR="007201E3" w:rsidRDefault="007201E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«РАЗВИТИЕ ФИЗИЧЕСКОЙ КУЛЬТУРЫ И СПОРТА»</w:t>
      </w:r>
    </w:p>
    <w:p w:rsidR="007201E3" w:rsidRDefault="007201E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2014-2016 ГОДЫ</w:t>
      </w:r>
    </w:p>
    <w:p w:rsidR="007201E3" w:rsidRDefault="007201E3">
      <w:pPr>
        <w:jc w:val="center"/>
        <w:rPr>
          <w:rFonts w:ascii="Times New Roman" w:hAnsi="Times New Roman"/>
          <w:b/>
          <w:sz w:val="28"/>
        </w:rPr>
      </w:pPr>
    </w:p>
    <w:p w:rsidR="007201E3" w:rsidRDefault="007201E3">
      <w:pPr>
        <w:jc w:val="center"/>
        <w:rPr>
          <w:rFonts w:ascii="Times New Roman" w:hAnsi="Times New Roman"/>
          <w:sz w:val="28"/>
        </w:rPr>
      </w:pPr>
    </w:p>
    <w:p w:rsidR="007201E3" w:rsidRDefault="007201E3">
      <w:pPr>
        <w:jc w:val="center"/>
        <w:rPr>
          <w:rFonts w:ascii="Times New Roman" w:hAnsi="Times New Roman"/>
          <w:sz w:val="28"/>
        </w:rPr>
      </w:pPr>
    </w:p>
    <w:p w:rsidR="007201E3" w:rsidRDefault="007201E3">
      <w:pPr>
        <w:jc w:val="center"/>
        <w:rPr>
          <w:rFonts w:ascii="Times New Roman" w:hAnsi="Times New Roman"/>
          <w:sz w:val="28"/>
        </w:rPr>
      </w:pPr>
    </w:p>
    <w:p w:rsidR="007201E3" w:rsidRDefault="007201E3">
      <w:pPr>
        <w:jc w:val="center"/>
        <w:rPr>
          <w:rFonts w:ascii="Times New Roman" w:hAnsi="Times New Roman"/>
          <w:sz w:val="28"/>
        </w:rPr>
      </w:pPr>
    </w:p>
    <w:p w:rsidR="007201E3" w:rsidRDefault="007201E3">
      <w:pPr>
        <w:jc w:val="center"/>
        <w:rPr>
          <w:rFonts w:ascii="Times New Roman" w:hAnsi="Times New Roman"/>
          <w:sz w:val="28"/>
        </w:rPr>
      </w:pPr>
    </w:p>
    <w:p w:rsidR="007201E3" w:rsidRDefault="007201E3">
      <w:pPr>
        <w:jc w:val="center"/>
        <w:rPr>
          <w:rFonts w:ascii="Times New Roman" w:hAnsi="Times New Roman"/>
          <w:sz w:val="28"/>
        </w:rPr>
      </w:pPr>
    </w:p>
    <w:p w:rsidR="007201E3" w:rsidRDefault="007201E3">
      <w:pPr>
        <w:jc w:val="center"/>
        <w:rPr>
          <w:rFonts w:ascii="Times New Roman" w:hAnsi="Times New Roman"/>
          <w:sz w:val="28"/>
        </w:rPr>
      </w:pPr>
    </w:p>
    <w:p w:rsidR="007201E3" w:rsidRDefault="007201E3">
      <w:pPr>
        <w:jc w:val="center"/>
        <w:rPr>
          <w:rFonts w:ascii="Times New Roman" w:hAnsi="Times New Roman"/>
          <w:sz w:val="28"/>
        </w:rPr>
      </w:pPr>
    </w:p>
    <w:p w:rsidR="007201E3" w:rsidRDefault="007201E3">
      <w:pPr>
        <w:jc w:val="center"/>
        <w:rPr>
          <w:rFonts w:ascii="Times New Roman" w:hAnsi="Times New Roman"/>
          <w:sz w:val="28"/>
        </w:rPr>
      </w:pPr>
    </w:p>
    <w:p w:rsidR="007201E3" w:rsidRDefault="007201E3">
      <w:pPr>
        <w:jc w:val="center"/>
        <w:rPr>
          <w:rFonts w:ascii="Times New Roman" w:hAnsi="Times New Roman"/>
          <w:sz w:val="28"/>
        </w:rPr>
      </w:pPr>
    </w:p>
    <w:p w:rsidR="007201E3" w:rsidRDefault="007201E3">
      <w:pPr>
        <w:jc w:val="center"/>
        <w:rPr>
          <w:rFonts w:ascii="Times New Roman" w:hAnsi="Times New Roman"/>
          <w:sz w:val="28"/>
        </w:rPr>
      </w:pPr>
    </w:p>
    <w:p w:rsidR="007201E3" w:rsidRDefault="007201E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пгт Тужа</w:t>
      </w:r>
    </w:p>
    <w:p w:rsidR="007201E3" w:rsidRDefault="007201E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2013 год</w:t>
      </w:r>
    </w:p>
    <w:p w:rsidR="007201E3" w:rsidRDefault="007201E3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ПАСПОРТ</w:t>
      </w:r>
    </w:p>
    <w:p w:rsidR="007201E3" w:rsidRDefault="007201E3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муниципальной программы Тужинского муниципального района</w:t>
      </w:r>
    </w:p>
    <w:p w:rsidR="007201E3" w:rsidRDefault="007201E3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«Развитие физической культуры и спорта» на 2014-2016 годы</w:t>
      </w:r>
    </w:p>
    <w:p w:rsidR="007201E3" w:rsidRDefault="007201E3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7201E3">
        <w:tc>
          <w:tcPr>
            <w:tcW w:w="2790" w:type="dxa"/>
          </w:tcPr>
          <w:p w:rsidR="007201E3" w:rsidRDefault="007201E3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Ответственный исполнитель Программы</w:t>
            </w:r>
          </w:p>
        </w:tc>
        <w:tc>
          <w:tcPr>
            <w:tcW w:w="6674" w:type="dxa"/>
          </w:tcPr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Отдел социальных отношений администрации Тужинского муниципального района </w:t>
            </w:r>
          </w:p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</w:tr>
      <w:tr w:rsidR="007201E3">
        <w:tc>
          <w:tcPr>
            <w:tcW w:w="2790" w:type="dxa"/>
          </w:tcPr>
          <w:p w:rsidR="007201E3" w:rsidRDefault="007201E3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Соисполнители муниципальной программы</w:t>
            </w:r>
          </w:p>
        </w:tc>
        <w:tc>
          <w:tcPr>
            <w:tcW w:w="6674" w:type="dxa"/>
          </w:tcPr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Отсутствуют</w:t>
            </w:r>
          </w:p>
        </w:tc>
      </w:tr>
      <w:tr w:rsidR="007201E3">
        <w:tc>
          <w:tcPr>
            <w:tcW w:w="2790" w:type="dxa"/>
          </w:tcPr>
          <w:p w:rsidR="007201E3" w:rsidRDefault="007201E3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Наименование подпрограмм*</w:t>
            </w:r>
          </w:p>
          <w:p w:rsidR="007201E3" w:rsidRDefault="007201E3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674" w:type="dxa"/>
          </w:tcPr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Отсутствуют</w:t>
            </w:r>
          </w:p>
        </w:tc>
      </w:tr>
      <w:tr w:rsidR="007201E3">
        <w:tc>
          <w:tcPr>
            <w:tcW w:w="2790" w:type="dxa"/>
          </w:tcPr>
          <w:p w:rsidR="007201E3" w:rsidRDefault="007201E3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674" w:type="dxa"/>
          </w:tcPr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Отсутствуют</w:t>
            </w:r>
          </w:p>
        </w:tc>
      </w:tr>
      <w:tr w:rsidR="007201E3">
        <w:tc>
          <w:tcPr>
            <w:tcW w:w="2790" w:type="dxa"/>
          </w:tcPr>
          <w:p w:rsidR="007201E3" w:rsidRDefault="007201E3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Цели муниципальной программы</w:t>
            </w:r>
          </w:p>
        </w:tc>
        <w:tc>
          <w:tcPr>
            <w:tcW w:w="6674" w:type="dxa"/>
          </w:tcPr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развитие физической культуры и спорта для обеспечения гарантий доступности жителей района к развитой спортивной инфраструктуре, приобщение различных слоёв населения к регулярным занятиям физической культурой и спортом; </w:t>
            </w:r>
          </w:p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повышение конкурентоспособности спортсменов Тужинского района на областном, всероссийском уровне;</w:t>
            </w:r>
          </w:p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организация предоставления дополнительного образования детям в области физкультуры, спорта и подготовка спортивного резерва в Тужинском районе</w:t>
            </w:r>
          </w:p>
        </w:tc>
      </w:tr>
      <w:tr w:rsidR="007201E3">
        <w:tc>
          <w:tcPr>
            <w:tcW w:w="2790" w:type="dxa"/>
          </w:tcPr>
          <w:p w:rsidR="007201E3" w:rsidRDefault="007201E3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Задачи муниципальной программы</w:t>
            </w:r>
          </w:p>
        </w:tc>
        <w:tc>
          <w:tcPr>
            <w:tcW w:w="6674" w:type="dxa"/>
          </w:tcPr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укрепление материально-технической базы для занятий физической культурой и спортом за счет строительства новых и реконструкции имеющихся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спортивных объектов;</w:t>
            </w:r>
          </w:p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развитие массового спорта среди различных категорий и групп населения, в том числе в образовательных учреждениях;</w:t>
            </w:r>
          </w:p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пропаганда физической культуры и здорового образа жизни;</w:t>
            </w:r>
          </w:p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оказание муниципальных услуг по предоставлению дополнительного образования в сфере физической культуры и спорта (услуги спортивной школы);</w:t>
            </w:r>
          </w:p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развитие детско-юношеского спорта (совершенствование подготовки спортивного резерва);</w:t>
            </w:r>
          </w:p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сохранение кадрового потенциала спортивной школы.</w:t>
            </w:r>
          </w:p>
        </w:tc>
      </w:tr>
      <w:tr w:rsidR="007201E3">
        <w:tc>
          <w:tcPr>
            <w:tcW w:w="2790" w:type="dxa"/>
          </w:tcPr>
          <w:p w:rsidR="007201E3" w:rsidRDefault="007201E3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6674" w:type="dxa"/>
          </w:tcPr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о</w:t>
            </w:r>
            <w:r>
              <w:rPr>
                <w:rFonts w:ascii="Times New Roman" w:hAnsi="Times New Roman"/>
                <w:sz w:val="28"/>
              </w:rPr>
              <w:t>беспеченность спортивными залами;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о</w:t>
            </w:r>
            <w:r>
              <w:rPr>
                <w:rFonts w:ascii="Times New Roman" w:hAnsi="Times New Roman"/>
                <w:sz w:val="28"/>
              </w:rPr>
              <w:t>беспеченность плоскостными сооружениями;</w:t>
            </w:r>
          </w:p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удельный вес населения, систематически занимающегося физкультурой и спортом;</w:t>
            </w:r>
          </w:p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с</w:t>
            </w:r>
            <w:r>
              <w:rPr>
                <w:rFonts w:ascii="Times New Roman" w:hAnsi="Times New Roman"/>
                <w:sz w:val="28"/>
              </w:rPr>
              <w:t>реднегодовая численность детей и подростков, занимающихся в учреждениях дополнительного образования спортивной направленности (ДЮСШ) (чел.);</w:t>
            </w:r>
          </w:p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к</w:t>
            </w:r>
            <w:r>
              <w:rPr>
                <w:rFonts w:ascii="Times New Roman" w:hAnsi="Times New Roman"/>
                <w:sz w:val="28"/>
              </w:rPr>
              <w:t>оличество физкультурных и спортивно-массовых мероприятий, проводимых на территории района в год;</w:t>
            </w:r>
          </w:p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к</w:t>
            </w:r>
            <w:r>
              <w:rPr>
                <w:rFonts w:ascii="Times New Roman" w:hAnsi="Times New Roman"/>
                <w:sz w:val="28"/>
              </w:rPr>
              <w:t>оличество реконструированных и вновь построенных спортивных объектов за год;</w:t>
            </w:r>
          </w:p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доля</w:t>
            </w:r>
            <w:r>
              <w:rPr>
                <w:rFonts w:ascii="Times New Roman" w:hAnsi="Times New Roman"/>
                <w:sz w:val="28"/>
              </w:rPr>
              <w:t xml:space="preserve"> занимающихся, которые имеют 1 взрослый разряд и выше от количества обучающихся в учебно-тренировочных группах (%)</w:t>
            </w:r>
          </w:p>
        </w:tc>
      </w:tr>
      <w:tr w:rsidR="007201E3">
        <w:tc>
          <w:tcPr>
            <w:tcW w:w="2790" w:type="dxa"/>
          </w:tcPr>
          <w:p w:rsidR="007201E3" w:rsidRDefault="007201E3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74" w:type="dxa"/>
          </w:tcPr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2014-2016 годы. Программа не предусматривает разбивки на этапы.</w:t>
            </w:r>
          </w:p>
        </w:tc>
      </w:tr>
      <w:tr w:rsidR="007201E3">
        <w:tc>
          <w:tcPr>
            <w:tcW w:w="2790" w:type="dxa"/>
          </w:tcPr>
          <w:p w:rsidR="007201E3" w:rsidRDefault="007201E3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Объёмы ассигнований муниципальной программы</w:t>
            </w:r>
          </w:p>
        </w:tc>
        <w:tc>
          <w:tcPr>
            <w:tcW w:w="6674" w:type="dxa"/>
          </w:tcPr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Объём ассигнований на реализацию муниципальной программы составляет 2518,7 тыс. рублей, в том числе:</w:t>
            </w:r>
          </w:p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средства местного бюджета –  всего –2488,7 тыс. рублей</w:t>
            </w:r>
          </w:p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2014г. – 335,0 тыс. рублей</w:t>
            </w:r>
          </w:p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2015г. – 844,5 тыс. рублей</w:t>
            </w:r>
          </w:p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2016г. – 1339,2 тыс. рублей.</w:t>
            </w:r>
          </w:p>
        </w:tc>
      </w:tr>
      <w:tr w:rsidR="007201E3">
        <w:tc>
          <w:tcPr>
            <w:tcW w:w="2790" w:type="dxa"/>
          </w:tcPr>
          <w:p w:rsidR="007201E3" w:rsidRDefault="007201E3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674" w:type="dxa"/>
          </w:tcPr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 количественном выражении к концу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8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sz w:val="28"/>
                <w:szCs w:val="24"/>
              </w:rPr>
              <w:t>.:</w:t>
            </w:r>
          </w:p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обеспеченность спортивными залами составит 3,33 тыс. кв.м. на 10 тыс. человек;</w:t>
            </w:r>
          </w:p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- обеспеченность плоскостными сооружениями составит 76,5 тыс. кв.м. на 10 тыс. человек;</w:t>
            </w:r>
          </w:p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увеличится удельный вес населения, систематически занимающегося физической культурой и спортом, до 27%;</w:t>
            </w:r>
          </w:p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среднегодовая численность детей и подростков, занимающихся в учреждениях дополнительного образования спортивной направленности (ДЮСШ) возрастёт до 230 человек;</w:t>
            </w:r>
          </w:p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количество физкультурных и спортивно-массовых мероприятий, проводимых на территории района, составит 40 в год;</w:t>
            </w:r>
          </w:p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ежегодно будет реконструироваться или вновь строиться по 1 спортивному объекту;</w:t>
            </w:r>
          </w:p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количество занимающихся. которые имеют 1 взрослый разряд и выше от количества обучающихся в учебно-тренировочных группах составит не менее 15%.</w:t>
            </w:r>
          </w:p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качественном выражении:</w:t>
            </w:r>
          </w:p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повысится качество дополнительного образования в сфере физической культуры и спорта</w:t>
            </w:r>
          </w:p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на уровне прежних лет останется количество проводимых физкультурных и спортивно-массовых мероприятий;</w:t>
            </w:r>
          </w:p>
          <w:p w:rsidR="007201E3" w:rsidRDefault="007201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повысится качество дополнительного образования в сфере физической культуры и спорта.</w:t>
            </w:r>
          </w:p>
        </w:tc>
      </w:tr>
    </w:tbl>
    <w:p w:rsidR="007201E3" w:rsidRDefault="007201E3">
      <w:pPr>
        <w:pStyle w:val="a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* - </w:t>
      </w:r>
      <w:r>
        <w:rPr>
          <w:rFonts w:ascii="Times New Roman" w:hAnsi="Times New Roman"/>
          <w:bCs/>
          <w:sz w:val="28"/>
          <w:szCs w:val="24"/>
        </w:rPr>
        <w:t>указываются при их наличии</w:t>
      </w:r>
    </w:p>
    <w:p w:rsidR="007201E3" w:rsidRDefault="007201E3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7201E3" w:rsidRDefault="007201E3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1. Общая характеристика сферы физической культуры и спорта, </w:t>
      </w:r>
    </w:p>
    <w:p w:rsidR="007201E3" w:rsidRDefault="007201E3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в том числе формулировки основных проблем в указанной сфере </w:t>
      </w:r>
    </w:p>
    <w:p w:rsidR="007201E3" w:rsidRDefault="007201E3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 прогноз её развития</w:t>
      </w:r>
    </w:p>
    <w:p w:rsidR="007201E3" w:rsidRDefault="007201E3">
      <w:pPr>
        <w:pStyle w:val="a3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7201E3" w:rsidRDefault="007201E3">
      <w:pPr>
        <w:pStyle w:val="a7"/>
        <w:rPr>
          <w:sz w:val="28"/>
        </w:rPr>
      </w:pPr>
      <w:r>
        <w:rPr>
          <w:sz w:val="28"/>
        </w:rPr>
        <w:t>Физическая культура и спорт являются эффективными средствами воспитания физически и духовно здорового молодого поколения. Многолетние научные исследования доказывают, что занятия физической культурой и спортом оказывают положительное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7201E3" w:rsidRDefault="007201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настоящее время в сфере физической культуры и спорта Тужинского района сложилась непростая ситуация, характеризующаяся рядом проблем, в том числе системных, которые составляют основу для разработки задач и мероприятий Муниципальной  программы.</w:t>
      </w:r>
    </w:p>
    <w:p w:rsidR="007201E3" w:rsidRDefault="007201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Одной из важных проблем является недостаточное количество граждан, занимающихся спортом. Статистика свидетельствует, что в настоящее время Тужинский район занимает лидирующие позиции в этом направлении. Доля граждан, систематически занимающихся физической культурой и спортом, в области на 31.12.2012 не превышает 19,4% , а  в районе  26,8 %  населения занимаются физической культурой и спортом.</w:t>
      </w:r>
    </w:p>
    <w:p w:rsidR="007201E3" w:rsidRDefault="007201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Обеспеченность спортивными объектами вроде бы не вызывает тревоги,  но за последние годы построен только физкультурно-оздоровительный комплекс (ФОК), общее количество спортивных сооружений составляет 36 единиц. При этом степень морального и физического износа спортивных сооружений статистикой не учитывается. По оценкам специалистов управления по физической культуре и спорту Кировской области, до 90% спортивных сооружений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соревнований. Эти проблемы вызваны недостаточным финансированием сферы физической культуры и спорта в предыдущие годы. Несмотря на тенденцию к незначительному увеличению бюджетного финансирования физической культуры и спорта, а также рост количества людей, активно занимающихся спортом, направленность и объем бюджетных расходов на сегодняшний день далеки от оптимальных.</w:t>
      </w:r>
    </w:p>
    <w:p w:rsidR="007201E3" w:rsidRDefault="007201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Немаловажной проблемой, препятствующей занятиям спортом, является неразвитая система инфраструктуры современных видов спорта, которые особо привлекательны для молодежи (сноуборд, скейтинг, би-эм-икс, артистик-слалом, спидскейтинг).</w:t>
      </w:r>
    </w:p>
    <w:p w:rsidR="007201E3" w:rsidRDefault="007201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31.12.2012  численность учащихся в детско-юношеской спортивной школы района(далее - ДЮСШ) достигла 222 человека</w:t>
      </w:r>
    </w:p>
    <w:p w:rsidR="007201E3" w:rsidRDefault="007201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Численность занимающихся в спортивной школе на этапах подготовки по состоянию на конец 2012 года представлена в таблице 1.</w:t>
      </w:r>
    </w:p>
    <w:p w:rsidR="007201E3" w:rsidRDefault="007201E3">
      <w:pPr>
        <w:pStyle w:val="a3"/>
        <w:ind w:left="0"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Таблица 1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6"/>
        <w:gridCol w:w="726"/>
        <w:gridCol w:w="1094"/>
        <w:gridCol w:w="726"/>
        <w:gridCol w:w="1094"/>
        <w:gridCol w:w="691"/>
        <w:gridCol w:w="1094"/>
        <w:gridCol w:w="726"/>
        <w:gridCol w:w="1094"/>
      </w:tblGrid>
      <w:tr w:rsidR="007201E3">
        <w:trPr>
          <w:cantSplit/>
        </w:trPr>
        <w:tc>
          <w:tcPr>
            <w:tcW w:w="2376" w:type="dxa"/>
            <w:vMerge w:val="restart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этапа подготовки</w:t>
            </w:r>
          </w:p>
        </w:tc>
        <w:tc>
          <w:tcPr>
            <w:tcW w:w="1843" w:type="dxa"/>
            <w:gridSpan w:val="2"/>
            <w:vAlign w:val="center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2012</w:t>
            </w:r>
          </w:p>
        </w:tc>
        <w:tc>
          <w:tcPr>
            <w:tcW w:w="1843" w:type="dxa"/>
            <w:gridSpan w:val="2"/>
            <w:vAlign w:val="center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</w:t>
            </w:r>
          </w:p>
        </w:tc>
        <w:tc>
          <w:tcPr>
            <w:tcW w:w="1559" w:type="dxa"/>
            <w:gridSpan w:val="2"/>
            <w:vAlign w:val="center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</w:t>
            </w:r>
          </w:p>
        </w:tc>
        <w:tc>
          <w:tcPr>
            <w:tcW w:w="1843" w:type="dxa"/>
            <w:gridSpan w:val="2"/>
            <w:vAlign w:val="center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</w:t>
            </w:r>
          </w:p>
        </w:tc>
      </w:tr>
      <w:tr w:rsidR="007201E3">
        <w:trPr>
          <w:cantSplit/>
        </w:trPr>
        <w:tc>
          <w:tcPr>
            <w:tcW w:w="2376" w:type="dxa"/>
            <w:vMerge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чел.</w:t>
            </w:r>
          </w:p>
        </w:tc>
        <w:tc>
          <w:tcPr>
            <w:tcW w:w="992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от общего кол-ва</w:t>
            </w:r>
          </w:p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(%)</w:t>
            </w:r>
          </w:p>
        </w:tc>
        <w:tc>
          <w:tcPr>
            <w:tcW w:w="851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чел.</w:t>
            </w:r>
          </w:p>
        </w:tc>
        <w:tc>
          <w:tcPr>
            <w:tcW w:w="992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от общего кол-ва</w:t>
            </w:r>
          </w:p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(%)</w:t>
            </w:r>
          </w:p>
        </w:tc>
        <w:tc>
          <w:tcPr>
            <w:tcW w:w="653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чел.</w:t>
            </w:r>
          </w:p>
        </w:tc>
        <w:tc>
          <w:tcPr>
            <w:tcW w:w="906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от общего кол-ва</w:t>
            </w:r>
          </w:p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(%)</w:t>
            </w:r>
          </w:p>
        </w:tc>
        <w:tc>
          <w:tcPr>
            <w:tcW w:w="851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чел.</w:t>
            </w:r>
          </w:p>
        </w:tc>
        <w:tc>
          <w:tcPr>
            <w:tcW w:w="992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от общего кол-ва</w:t>
            </w:r>
          </w:p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(%)</w:t>
            </w:r>
          </w:p>
        </w:tc>
      </w:tr>
      <w:tr w:rsidR="007201E3">
        <w:tc>
          <w:tcPr>
            <w:tcW w:w="2376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Спортивно-оздоровительный</w:t>
            </w:r>
          </w:p>
        </w:tc>
        <w:tc>
          <w:tcPr>
            <w:tcW w:w="851" w:type="dxa"/>
            <w:vAlign w:val="center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126</w:t>
            </w:r>
          </w:p>
        </w:tc>
        <w:tc>
          <w:tcPr>
            <w:tcW w:w="992" w:type="dxa"/>
            <w:vAlign w:val="center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56,8</w:t>
            </w:r>
          </w:p>
        </w:tc>
        <w:tc>
          <w:tcPr>
            <w:tcW w:w="851" w:type="dxa"/>
            <w:vAlign w:val="center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140</w:t>
            </w:r>
          </w:p>
        </w:tc>
        <w:tc>
          <w:tcPr>
            <w:tcW w:w="992" w:type="dxa"/>
            <w:vAlign w:val="center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60,9</w:t>
            </w:r>
          </w:p>
        </w:tc>
        <w:tc>
          <w:tcPr>
            <w:tcW w:w="653" w:type="dxa"/>
            <w:vAlign w:val="center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143</w:t>
            </w:r>
          </w:p>
        </w:tc>
        <w:tc>
          <w:tcPr>
            <w:tcW w:w="906" w:type="dxa"/>
            <w:vAlign w:val="center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62,2</w:t>
            </w:r>
          </w:p>
        </w:tc>
        <w:tc>
          <w:tcPr>
            <w:tcW w:w="851" w:type="dxa"/>
            <w:vAlign w:val="center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140</w:t>
            </w:r>
          </w:p>
        </w:tc>
        <w:tc>
          <w:tcPr>
            <w:tcW w:w="992" w:type="dxa"/>
            <w:vAlign w:val="center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60,8</w:t>
            </w:r>
          </w:p>
        </w:tc>
      </w:tr>
      <w:tr w:rsidR="007201E3">
        <w:tc>
          <w:tcPr>
            <w:tcW w:w="2376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Начальной подготовки</w:t>
            </w:r>
          </w:p>
        </w:tc>
        <w:tc>
          <w:tcPr>
            <w:tcW w:w="851" w:type="dxa"/>
            <w:vAlign w:val="center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992" w:type="dxa"/>
            <w:vAlign w:val="center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31,5</w:t>
            </w:r>
          </w:p>
        </w:tc>
        <w:tc>
          <w:tcPr>
            <w:tcW w:w="851" w:type="dxa"/>
            <w:vAlign w:val="center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992" w:type="dxa"/>
            <w:vAlign w:val="center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27,8</w:t>
            </w:r>
          </w:p>
        </w:tc>
        <w:tc>
          <w:tcPr>
            <w:tcW w:w="653" w:type="dxa"/>
            <w:vAlign w:val="center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906" w:type="dxa"/>
            <w:vAlign w:val="center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26,1</w:t>
            </w:r>
          </w:p>
        </w:tc>
        <w:tc>
          <w:tcPr>
            <w:tcW w:w="851" w:type="dxa"/>
            <w:vAlign w:val="center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26,1</w:t>
            </w:r>
          </w:p>
        </w:tc>
      </w:tr>
      <w:tr w:rsidR="007201E3">
        <w:tc>
          <w:tcPr>
            <w:tcW w:w="2376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Учебно-</w:t>
            </w:r>
            <w:r>
              <w:rPr>
                <w:rFonts w:ascii="Times New Roman" w:hAnsi="Times New Roman"/>
                <w:sz w:val="28"/>
              </w:rPr>
              <w:lastRenderedPageBreak/>
              <w:t>тренировочный</w:t>
            </w:r>
          </w:p>
        </w:tc>
        <w:tc>
          <w:tcPr>
            <w:tcW w:w="851" w:type="dxa"/>
            <w:vAlign w:val="center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</w:t>
            </w:r>
          </w:p>
        </w:tc>
        <w:tc>
          <w:tcPr>
            <w:tcW w:w="992" w:type="dxa"/>
            <w:vAlign w:val="center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11,7</w:t>
            </w:r>
          </w:p>
        </w:tc>
        <w:tc>
          <w:tcPr>
            <w:tcW w:w="851" w:type="dxa"/>
            <w:vAlign w:val="center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992" w:type="dxa"/>
            <w:vAlign w:val="center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11,3</w:t>
            </w:r>
          </w:p>
        </w:tc>
        <w:tc>
          <w:tcPr>
            <w:tcW w:w="653" w:type="dxa"/>
            <w:vAlign w:val="center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906" w:type="dxa"/>
            <w:vAlign w:val="center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11,7</w:t>
            </w:r>
          </w:p>
        </w:tc>
        <w:tc>
          <w:tcPr>
            <w:tcW w:w="851" w:type="dxa"/>
            <w:vAlign w:val="center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13,1</w:t>
            </w:r>
          </w:p>
        </w:tc>
      </w:tr>
      <w:tr w:rsidR="007201E3">
        <w:tc>
          <w:tcPr>
            <w:tcW w:w="2376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222</w:t>
            </w:r>
          </w:p>
        </w:tc>
        <w:tc>
          <w:tcPr>
            <w:tcW w:w="992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851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</w:t>
            </w:r>
          </w:p>
        </w:tc>
        <w:tc>
          <w:tcPr>
            <w:tcW w:w="992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65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</w:t>
            </w:r>
          </w:p>
        </w:tc>
        <w:tc>
          <w:tcPr>
            <w:tcW w:w="906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851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</w:t>
            </w:r>
          </w:p>
        </w:tc>
        <w:tc>
          <w:tcPr>
            <w:tcW w:w="992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</w:tbl>
    <w:p w:rsidR="007201E3" w:rsidRDefault="007201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</w:p>
    <w:p w:rsidR="007201E3" w:rsidRDefault="007201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спортивной школе от общего количества занимающихся доля учащихся в возрасте до 14 лет составила 46,8%, от 15 до 30 лет – 53,2%.</w:t>
      </w:r>
    </w:p>
    <w:p w:rsidR="007201E3" w:rsidRDefault="007201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31.12.2012 в области физического воспитания детей и молодежи в учреждениях спортивной направленности работают 25 человек, из которых 88,0% физкультурных работников имеют высшее и среднее специальное физкультурное образование. Во многом проблема развития кадрового потенциала связана с низким размером заработной платы молодых специалистов. Невысокий уровень финансирования учреждений не позволяет направлять специалистов на повышение квалификации на факультеты подготовки и переподготовки кадров высших учебных заведений, подведомственных Министерству спорта Российской Федерации. Данная ситуация не позволяет своевременно изучать, осваивать современные спортивные методики подготовки спортсменов на разных этапах спортивной подготовки.</w:t>
      </w:r>
    </w:p>
    <w:p w:rsidR="007201E3" w:rsidRDefault="007201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Особое внимание в Тужинском районе оказывается проведению физкультурных и спортивных мероприятий. Так, в 2011 году было проведено 38 спортивно-оздоровительных мероприятий, но уже в 2012 году несмотря на уменьшение бюджетного финансирования проведено 40 мероприятий. В то же время требуется уделять внимание и мероприятиям любительского спорта, а также повышению уровня зрелищности проводимых мероприятий, чтобы они стали инструментом пропаганды спорта.</w:t>
      </w:r>
    </w:p>
    <w:p w:rsidR="007201E3" w:rsidRDefault="007201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Развитие физического воспитания, в свою очередь, требует решения проблемы привлечения к занятиям спортом различных слоев населения путем распространения массовых физкультурно-оздоровительных занятий для граждан старшего возраста, таких, как "55 +".</w:t>
      </w:r>
    </w:p>
    <w:p w:rsidR="007201E3" w:rsidRDefault="007201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Существующая законодательная база предполагает самостоятельность органов местного самоуправления в решении социальных вопросов, в том числе вопросов развития физической культуры и спорта, что приводит к существенной разнице в подходах к организации дополнительного образования и участию сборных команд района в областных соревнованиях. Необходимо учитывать, что физическое воспитание детей, молодежи и подготовка спортивного резерва являются многолетним целенаправленным учебно-тренировочным процессом по видам спорта, осуществляемым как в образовательных учреждениях дополнительного образования детей, так и в учреждениях, организациях в сфере физической культуры и спорта, начиная со спортивно-оздоровительного этапа и заканчивая этапом высшего спортивного мастерства.</w:t>
      </w:r>
    </w:p>
    <w:p w:rsidR="007201E3" w:rsidRDefault="007201E3">
      <w:pPr>
        <w:pStyle w:val="a3"/>
        <w:ind w:firstLine="696"/>
        <w:jc w:val="both"/>
        <w:rPr>
          <w:rFonts w:ascii="Times New Roman" w:hAnsi="Times New Roman"/>
          <w:sz w:val="28"/>
          <w:szCs w:val="24"/>
        </w:rPr>
      </w:pPr>
    </w:p>
    <w:p w:rsidR="007201E3" w:rsidRDefault="007201E3">
      <w:pPr>
        <w:pStyle w:val="a3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2. Приоритеты муниципальной политики в сфере физической культуры и спорта, цели, задачи, целевые показатели эффективности реализации </w:t>
      </w:r>
      <w:r>
        <w:rPr>
          <w:rFonts w:ascii="Times New Roman" w:hAnsi="Times New Roman"/>
          <w:b/>
          <w:sz w:val="28"/>
          <w:szCs w:val="24"/>
        </w:rPr>
        <w:lastRenderedPageBreak/>
        <w:t>Муниципальной программы, ожидаемые конечные результаты реализации Муниципальной программы, сроки и этапы реализации Муниципальной программы</w:t>
      </w:r>
    </w:p>
    <w:p w:rsidR="007201E3" w:rsidRDefault="007201E3">
      <w:pPr>
        <w:pStyle w:val="a3"/>
        <w:ind w:left="0"/>
        <w:rPr>
          <w:rFonts w:ascii="Times New Roman" w:hAnsi="Times New Roman"/>
          <w:b/>
          <w:sz w:val="28"/>
          <w:szCs w:val="24"/>
        </w:rPr>
      </w:pPr>
    </w:p>
    <w:p w:rsidR="007201E3" w:rsidRDefault="007201E3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Основными целями муниципальной политики в сфере физической культуры и спорта являются:</w:t>
      </w:r>
    </w:p>
    <w:p w:rsidR="007201E3" w:rsidRDefault="007201E3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развитие физической культуры и спорта для обеспечения гарантий доступности жителей района к развитой спортивной инфраструктуре, приобщение различных слоёв населения к регулярным занятиям физической культурой и спортом, повышение конкурентоспособности спортсменов района на областном, всероссийском уровне;</w:t>
      </w:r>
    </w:p>
    <w:p w:rsidR="007201E3" w:rsidRDefault="007201E3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организация предоставления дополнительного образования детям в области физкультуры, спорта и подготовка спортивного  резерва в Тужинском районе.</w:t>
      </w:r>
    </w:p>
    <w:p w:rsidR="007201E3" w:rsidRDefault="007201E3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Достижение этих целей предполагает решение следующих задач:</w:t>
      </w:r>
    </w:p>
    <w:p w:rsidR="007201E3" w:rsidRDefault="007201E3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укрепление материально-технической базы для занятий физической культурой и спортом за счет строительства новых и реконструкции имеющихся спортивных объектов;</w:t>
      </w:r>
    </w:p>
    <w:p w:rsidR="007201E3" w:rsidRDefault="007201E3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развитие массового спорта среди различных категорий и групп населения, в том числе в образовательных учреждениях;</w:t>
      </w:r>
    </w:p>
    <w:p w:rsidR="007201E3" w:rsidRDefault="007201E3">
      <w:pPr>
        <w:pStyle w:val="a3"/>
        <w:spacing w:after="0"/>
        <w:ind w:left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пропаганда физической культуры и здорового образа жизни;</w:t>
      </w:r>
    </w:p>
    <w:p w:rsidR="007201E3" w:rsidRDefault="007201E3">
      <w:pPr>
        <w:pStyle w:val="a3"/>
        <w:spacing w:after="0"/>
        <w:ind w:left="0" w:firstLine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оказание муниципальных услуг по предоставлению дополнительного образования в сфере физической культуры и спорта (услуги спортивной школы);</w:t>
      </w:r>
    </w:p>
    <w:p w:rsidR="007201E3" w:rsidRDefault="007201E3">
      <w:pPr>
        <w:pStyle w:val="a3"/>
        <w:spacing w:after="0"/>
        <w:ind w:left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развитие детско-юношеского спорта (совершенствование подготовки спортивного резерва);</w:t>
      </w:r>
    </w:p>
    <w:p w:rsidR="007201E3" w:rsidRDefault="007201E3">
      <w:pPr>
        <w:pStyle w:val="a3"/>
        <w:spacing w:after="0"/>
        <w:ind w:left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сохранение кадрового потенциала спортивной школы.</w:t>
      </w:r>
    </w:p>
    <w:p w:rsidR="007201E3" w:rsidRDefault="007201E3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Источниками информации о значениях целевых показателей являются ведомственная и статистическая отчетность. Расчетные показатели и методика их расчета приведены в таблице 2.</w:t>
      </w:r>
    </w:p>
    <w:p w:rsidR="007201E3" w:rsidRDefault="007201E3">
      <w:pPr>
        <w:pStyle w:val="a3"/>
        <w:ind w:left="0" w:firstLine="708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 2</w:t>
      </w:r>
      <w:r>
        <w:rPr>
          <w:rFonts w:ascii="Times New Roman" w:hAnsi="Times New Roman"/>
          <w:sz w:val="28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229"/>
        <w:gridCol w:w="4748"/>
      </w:tblGrid>
      <w:tr w:rsidR="007201E3">
        <w:tc>
          <w:tcPr>
            <w:tcW w:w="534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</w:p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4252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показателя</w:t>
            </w:r>
          </w:p>
        </w:tc>
        <w:tc>
          <w:tcPr>
            <w:tcW w:w="4785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Методика расчёта</w:t>
            </w:r>
          </w:p>
        </w:tc>
      </w:tr>
      <w:tr w:rsidR="007201E3">
        <w:tc>
          <w:tcPr>
            <w:tcW w:w="534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252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Обеспеченность спортивными залами</w:t>
            </w:r>
          </w:p>
        </w:tc>
        <w:tc>
          <w:tcPr>
            <w:tcW w:w="4785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position w:val="-24"/>
                <w:sz w:val="28"/>
              </w:rPr>
              <w:object w:dxaOrig="1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30.75pt" o:ole="">
                  <v:imagedata r:id="rId6" o:title=""/>
                </v:shape>
                <o:OLEObject Type="Embed" ProgID="Equation.3" ShapeID="_x0000_i1025" DrawAspect="Content" ObjectID="_1518522345" r:id="rId7"/>
              </w:object>
            </w:r>
            <w:r>
              <w:rPr>
                <w:rFonts w:ascii="Times New Roman" w:hAnsi="Times New Roman"/>
                <w:sz w:val="28"/>
              </w:rPr>
              <w:t>, где</w:t>
            </w:r>
          </w:p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Оз – </w:t>
            </w:r>
            <w:r>
              <w:rPr>
                <w:rFonts w:ascii="Times New Roman" w:hAnsi="Times New Roman"/>
                <w:sz w:val="28"/>
              </w:rPr>
              <w:t>обеспеченность спортивными залами (тыс.кв.м. на 10 тыс человек);</w:t>
            </w:r>
          </w:p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Пз – </w:t>
            </w:r>
            <w:r>
              <w:rPr>
                <w:rFonts w:ascii="Times New Roman" w:hAnsi="Times New Roman"/>
                <w:sz w:val="28"/>
              </w:rPr>
              <w:t>общая площадь спортивных залов на конец отчетного периода по форме статистической отчетности № 1-ФК (тыс.кв.м.);</w:t>
            </w:r>
          </w:p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Чис</w:t>
            </w:r>
            <w:r>
              <w:rPr>
                <w:rFonts w:ascii="Times New Roman" w:hAnsi="Times New Roman"/>
                <w:i/>
                <w:sz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 xml:space="preserve"> - </w:t>
            </w:r>
            <w:r>
              <w:rPr>
                <w:rFonts w:ascii="Times New Roman" w:hAnsi="Times New Roman"/>
                <w:sz w:val="28"/>
              </w:rPr>
              <w:t xml:space="preserve">численность постоянного </w:t>
            </w:r>
            <w:r>
              <w:rPr>
                <w:rFonts w:ascii="Times New Roman" w:hAnsi="Times New Roman"/>
                <w:sz w:val="28"/>
              </w:rPr>
              <w:lastRenderedPageBreak/>
              <w:t>населения муниципального образования на начало года, следующего за отчетным, по данным статотчёта (тыс. человек)</w:t>
            </w:r>
          </w:p>
        </w:tc>
      </w:tr>
      <w:tr w:rsidR="007201E3">
        <w:tc>
          <w:tcPr>
            <w:tcW w:w="534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2.</w:t>
            </w:r>
          </w:p>
        </w:tc>
        <w:tc>
          <w:tcPr>
            <w:tcW w:w="4252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Обеспеченность плоскостными сооружениями</w:t>
            </w:r>
          </w:p>
        </w:tc>
        <w:tc>
          <w:tcPr>
            <w:tcW w:w="4785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position w:val="-24"/>
                <w:sz w:val="28"/>
              </w:rPr>
              <w:object w:dxaOrig="1520" w:dyaOrig="620">
                <v:shape id="_x0000_i1026" type="#_x0000_t75" style="width:75.75pt;height:30.75pt" o:ole="">
                  <v:imagedata r:id="rId8" o:title=""/>
                </v:shape>
                <o:OLEObject Type="Embed" ProgID="Equation.3" ShapeID="_x0000_i1026" DrawAspect="Content" ObjectID="_1518522346" r:id="rId9"/>
              </w:object>
            </w:r>
            <w:r>
              <w:rPr>
                <w:rFonts w:ascii="Times New Roman" w:hAnsi="Times New Roman"/>
                <w:sz w:val="28"/>
              </w:rPr>
              <w:t>, где</w:t>
            </w:r>
          </w:p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Осс – </w:t>
            </w:r>
            <w:r>
              <w:rPr>
                <w:rFonts w:ascii="Times New Roman" w:hAnsi="Times New Roman"/>
                <w:sz w:val="28"/>
              </w:rPr>
              <w:t>обеспеченность плоскостными спортивными сооружениями (тыс.кв.метров на 10 тыс. человек);</w:t>
            </w:r>
          </w:p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Псс – </w:t>
            </w:r>
            <w:r>
              <w:rPr>
                <w:rFonts w:ascii="Times New Roman" w:hAnsi="Times New Roman"/>
                <w:sz w:val="28"/>
              </w:rPr>
              <w:t>общая площадь плоскостных спортивных сооружений на конец отчетного периода пол форме статистической отчетности № 1-ФК (тыс. кв. метров);</w:t>
            </w:r>
          </w:p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Чис - </w:t>
            </w:r>
            <w:r>
              <w:rPr>
                <w:rFonts w:ascii="Times New Roman" w:hAnsi="Times New Roman"/>
                <w:sz w:val="28"/>
              </w:rPr>
              <w:t>численность постоянного населения муниципального образования на начало года, следующего за отчетным, по данным статотчёта (тыс. человек)</w:t>
            </w:r>
          </w:p>
        </w:tc>
      </w:tr>
      <w:tr w:rsidR="007201E3">
        <w:tc>
          <w:tcPr>
            <w:tcW w:w="534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252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4785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position w:val="-44"/>
                <w:sz w:val="28"/>
              </w:rPr>
              <w:object w:dxaOrig="1719" w:dyaOrig="999">
                <v:shape id="_x0000_i1027" type="#_x0000_t75" style="width:86.25pt;height:50.25pt" o:ole="">
                  <v:imagedata r:id="rId10" o:title=""/>
                </v:shape>
                <o:OLEObject Type="Embed" ProgID="Equation.3" ShapeID="_x0000_i1027" DrawAspect="Content" ObjectID="_1518522347" r:id="rId11"/>
              </w:object>
            </w:r>
            <w:r>
              <w:rPr>
                <w:rFonts w:ascii="Times New Roman" w:hAnsi="Times New Roman"/>
                <w:sz w:val="28"/>
              </w:rPr>
              <w:t>, где</w:t>
            </w:r>
          </w:p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Ув </w:t>
            </w:r>
            <w:r>
              <w:rPr>
                <w:rFonts w:ascii="Times New Roman" w:hAnsi="Times New Roman"/>
                <w:sz w:val="28"/>
              </w:rPr>
              <w:t>– удельный вес населения, систематически занимающегося физической культурой и спортом ( процентов);</w:t>
            </w:r>
          </w:p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Чз – </w:t>
            </w:r>
            <w:r>
              <w:rPr>
                <w:rFonts w:ascii="Times New Roman" w:hAnsi="Times New Roman"/>
                <w:sz w:val="28"/>
              </w:rPr>
              <w:t>численность населения, систематически занимающегося физической культурой и спортом на конец отчетного периода по форме статистической отчетности № 1-ФК (тыс. человек);</w:t>
            </w:r>
          </w:p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Чис – </w:t>
            </w:r>
            <w:r>
              <w:rPr>
                <w:rFonts w:ascii="Times New Roman" w:hAnsi="Times New Roman"/>
                <w:sz w:val="28"/>
              </w:rPr>
              <w:t>численность постоянного населения муниципального образования на начало года, следующего за отчетным, по данным статотчёта (тыс. человек)</w:t>
            </w:r>
          </w:p>
        </w:tc>
      </w:tr>
      <w:tr w:rsidR="007201E3">
        <w:tc>
          <w:tcPr>
            <w:tcW w:w="534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252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Среднегодовая численность детей и подростков, </w:t>
            </w:r>
            <w:r>
              <w:rPr>
                <w:rFonts w:ascii="Times New Roman" w:hAnsi="Times New Roman"/>
                <w:sz w:val="28"/>
              </w:rPr>
              <w:lastRenderedPageBreak/>
              <w:t>занимающихся в учреждениях дополнительного образования спортивной направленности (ДЮСШ)</w:t>
            </w:r>
          </w:p>
        </w:tc>
        <w:tc>
          <w:tcPr>
            <w:tcW w:w="4785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lastRenderedPageBreak/>
              <w:t>Скз = (Чснг+Чскг)/2</w:t>
            </w:r>
            <w:r>
              <w:rPr>
                <w:rFonts w:ascii="Times New Roman" w:hAnsi="Times New Roman"/>
                <w:sz w:val="28"/>
              </w:rPr>
              <w:t>, где</w:t>
            </w:r>
          </w:p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lastRenderedPageBreak/>
              <w:t>Скз</w:t>
            </w:r>
            <w:r>
              <w:rPr>
                <w:rFonts w:ascii="Times New Roman" w:hAnsi="Times New Roman"/>
                <w:sz w:val="28"/>
              </w:rPr>
              <w:t xml:space="preserve"> – среднегодовое количество занимающихся (обучающихся в спортивных школах (человек);</w:t>
            </w:r>
          </w:p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Чснг </w:t>
            </w:r>
            <w:r>
              <w:rPr>
                <w:rFonts w:ascii="Times New Roman" w:hAnsi="Times New Roman"/>
                <w:sz w:val="28"/>
              </w:rPr>
              <w:t>– количество занимающихся (обучающихся) в спортивных школах на начало отчетного периода по данным формы статистической отчетности №5-ФК (человек)</w:t>
            </w:r>
          </w:p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Чскг – </w:t>
            </w:r>
            <w:r>
              <w:rPr>
                <w:rFonts w:ascii="Times New Roman" w:hAnsi="Times New Roman"/>
                <w:sz w:val="28"/>
              </w:rPr>
              <w:t>количество занимающихся (обучающихся) в спортивных школах на конец отчетного периода по данным формы статистической отчетности №5-ФК (человек)</w:t>
            </w:r>
          </w:p>
        </w:tc>
      </w:tr>
      <w:tr w:rsidR="007201E3">
        <w:tc>
          <w:tcPr>
            <w:tcW w:w="534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5.</w:t>
            </w:r>
          </w:p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физкультурных и спортивно-массовых мероприятий, проводимых на территории района в год</w:t>
            </w:r>
          </w:p>
        </w:tc>
        <w:tc>
          <w:tcPr>
            <w:tcW w:w="4785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>Расчет будет производится по предоставленным материалам</w:t>
            </w:r>
          </w:p>
        </w:tc>
      </w:tr>
      <w:tr w:rsidR="007201E3">
        <w:tc>
          <w:tcPr>
            <w:tcW w:w="534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252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реконструированных и вновь построенных спортивных объектов за год</w:t>
            </w:r>
          </w:p>
        </w:tc>
        <w:tc>
          <w:tcPr>
            <w:tcW w:w="4785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>Расчет будет производится по предоставленным материалам</w:t>
            </w:r>
          </w:p>
        </w:tc>
      </w:tr>
      <w:tr w:rsidR="007201E3">
        <w:tc>
          <w:tcPr>
            <w:tcW w:w="534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252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занимающихся, которые имеют 1 взрослый разряд и выше от количества обучающихся в учебно-тренировочных группах (%)</w:t>
            </w:r>
          </w:p>
        </w:tc>
        <w:tc>
          <w:tcPr>
            <w:tcW w:w="4785" w:type="dxa"/>
          </w:tcPr>
          <w:p w:rsidR="007201E3" w:rsidRDefault="007201E3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>Расчет будет производится по предоставленным материалам</w:t>
            </w:r>
          </w:p>
        </w:tc>
      </w:tr>
    </w:tbl>
    <w:p w:rsidR="007201E3" w:rsidRDefault="007201E3">
      <w:pPr>
        <w:pStyle w:val="a3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7201E3" w:rsidRDefault="007201E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Муниципальная программа реализуется в 2014-2016 годах.</w:t>
      </w:r>
    </w:p>
    <w:p w:rsidR="007201E3" w:rsidRDefault="007201E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Благодаря реализации комплекса мероприятий Муниципальной программы будут обеспечены качественные показатели:</w:t>
      </w:r>
    </w:p>
    <w:p w:rsidR="007201E3" w:rsidRDefault="007201E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на новый качественный уровень выйдет система проведения физкультурных и спортивных мероприятий;</w:t>
      </w:r>
    </w:p>
    <w:p w:rsidR="007201E3" w:rsidRDefault="007201E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на уровне прежних лет останется количество проводимых физкультурных и спортивно-массовых мероприятий;</w:t>
      </w:r>
    </w:p>
    <w:p w:rsidR="007201E3" w:rsidRDefault="007201E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повысится качество дополнительного образования в сфере физической культуры и спорта.</w:t>
      </w:r>
    </w:p>
    <w:p w:rsidR="007201E3" w:rsidRDefault="007201E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Сведения о количественных значениях целевых показателей эффективности реализации Муниципальной программы приведены в приложении № 1 к Муниципальной программе.</w:t>
      </w:r>
    </w:p>
    <w:p w:rsidR="007201E3" w:rsidRDefault="007201E3">
      <w:pPr>
        <w:pStyle w:val="a3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7201E3" w:rsidRDefault="007201E3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 Обобщенная характеристика мероприятий Муниципальной программы</w:t>
      </w:r>
    </w:p>
    <w:p w:rsidR="007201E3" w:rsidRDefault="007201E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>Достижение целей и решение задач программы осуществляется путем скоординированного выполнения комплекса взаимоувязанных по срокам, ресурсам, исполнителям и результатам мероприятий. (Приложение № 2 к Муниципальной программе)</w:t>
      </w:r>
    </w:p>
    <w:p w:rsidR="007201E3" w:rsidRDefault="007201E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«Укрепление материально-технической базы для занятий физической культурой и спортом за счет строительства новых и реконструкции имеющихся спортивных объектов» осуществляется путём:</w:t>
      </w:r>
    </w:p>
    <w:p w:rsidR="007201E3" w:rsidRDefault="007201E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реконструкции и строительства новых спортивных объектов, спортивных площадок;</w:t>
      </w:r>
    </w:p>
    <w:p w:rsidR="007201E3" w:rsidRDefault="007201E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развития и создания условий для эффективного использования спортивной инфраструктуры.</w:t>
      </w:r>
    </w:p>
    <w:p w:rsidR="007201E3" w:rsidRDefault="007201E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«Развитие массового спорта среди различных категорий и групп населения, в том числе в образовательных учреждениях» осуществляется путём:</w:t>
      </w:r>
    </w:p>
    <w:p w:rsidR="007201E3" w:rsidRDefault="007201E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предоставления услуг в сфере физкультуры и спорта на спортивных сооружениях общеобразовательных и спортивной школ и учреждениях спортивной направленности района;</w:t>
      </w:r>
    </w:p>
    <w:p w:rsidR="007201E3" w:rsidRDefault="007201E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привлечения различных категорий и групп населения к участию в различных физкультурно-оздоровительных районных мероприятиях;</w:t>
      </w:r>
    </w:p>
    <w:p w:rsidR="007201E3" w:rsidRDefault="007201E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физкультурно-оздоровительных мероприятий на районном уровне в дошкольных учреждениях;</w:t>
      </w:r>
    </w:p>
    <w:p w:rsidR="007201E3" w:rsidRDefault="007201E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физкультурно-оздоровительных мероприятий в образовательных учреждениях;</w:t>
      </w:r>
    </w:p>
    <w:p w:rsidR="007201E3" w:rsidRDefault="007201E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районных Спартакиад среди работников трудовых коллективов, работников образовательных учреждений.</w:t>
      </w:r>
    </w:p>
    <w:p w:rsidR="007201E3" w:rsidRDefault="007201E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«Пропаганда физической культуры и здорового образа жизни» осуществляется путем:</w:t>
      </w:r>
    </w:p>
    <w:p w:rsidR="007201E3" w:rsidRDefault="007201E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районных массовых спортивных мероприятий (Лыжня России, Кросс наций и т.д.);</w:t>
      </w:r>
    </w:p>
    <w:p w:rsidR="007201E3" w:rsidRDefault="007201E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информирования населения о проводимых мероприятиях, лучших спортсменах, их достижениях через СМИ;</w:t>
      </w:r>
    </w:p>
    <w:p w:rsidR="007201E3" w:rsidRDefault="007201E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рекламы проводимых мероприятий;</w:t>
      </w:r>
    </w:p>
    <w:p w:rsidR="007201E3" w:rsidRDefault="007201E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спортивного праздника «В труде и спорте»;</w:t>
      </w:r>
    </w:p>
    <w:p w:rsidR="007201E3" w:rsidRDefault="007201E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изготовления баннера, пропагандирующего здоровый образ жизни.</w:t>
      </w:r>
    </w:p>
    <w:p w:rsidR="007201E3" w:rsidRDefault="007201E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рамках отдельного мероприятия будет реализовываться «Организация предоставления дополнительного образования детям в области физкультуры. спорта и подготовка спортивного резерва в Тужинском районе». Достижение этой цели предполагает решение следующих задач:</w:t>
      </w:r>
    </w:p>
    <w:p w:rsidR="007201E3" w:rsidRDefault="007201E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оказание муниципальных услуг по предоставлению дополнительного образования в сфере физической культуры и спорта (услуги спортивной школы);</w:t>
      </w:r>
    </w:p>
    <w:p w:rsidR="007201E3" w:rsidRDefault="007201E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развитие детско-юношеского спорта (совершенствование подготовки спортивного резерва);</w:t>
      </w:r>
    </w:p>
    <w:p w:rsidR="007201E3" w:rsidRDefault="007201E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сохранение кадрового потенциала (спортивной школы).</w:t>
      </w:r>
    </w:p>
    <w:p w:rsidR="007201E3" w:rsidRDefault="007201E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Решение задачи «Оказание муниципальных услуг по предоставлению дополнительного образования в сфере физической культуры и спорта (услуги спортивной школы)» осуществляется путём:</w:t>
      </w:r>
    </w:p>
    <w:p w:rsidR="007201E3" w:rsidRDefault="007201E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информирования населения о расположении спортивной школы, видах спорта, графике работы, набора в секции;</w:t>
      </w:r>
    </w:p>
    <w:p w:rsidR="007201E3" w:rsidRDefault="007201E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рекламы видов спорта.</w:t>
      </w:r>
    </w:p>
    <w:p w:rsidR="007201E3" w:rsidRDefault="007201E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«Развитие детско-юношеского спорта (совершенствование подготовки спортивного резерва)» осуществляется путём:</w:t>
      </w:r>
    </w:p>
    <w:p w:rsidR="007201E3" w:rsidRDefault="007201E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районных, областных, межрегиональных физкультурных и спортивных мероприятий на территории района;</w:t>
      </w:r>
    </w:p>
    <w:p w:rsidR="007201E3" w:rsidRDefault="007201E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обеспечения участия сборных команд и ведущих спортсменов спортивной школы района в областных, региональных, всероссийских физкультурных и спортивных мероприятиях;</w:t>
      </w:r>
    </w:p>
    <w:p w:rsidR="007201E3" w:rsidRDefault="007201E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обеспечения качественным спортивным инвентарём.</w:t>
      </w:r>
    </w:p>
    <w:p w:rsidR="007201E3" w:rsidRDefault="007201E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«Сохранение кадрового потенциала спортивной школы» осуществляется путём:</w:t>
      </w:r>
    </w:p>
    <w:p w:rsidR="007201E3" w:rsidRDefault="007201E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выплат педагогическим работникам;</w:t>
      </w:r>
    </w:p>
    <w:p w:rsidR="007201E3" w:rsidRDefault="007201E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выплат педагогическим работникам, имеющим высшую категорию;</w:t>
      </w:r>
    </w:p>
    <w:p w:rsidR="007201E3" w:rsidRDefault="007201E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предоставление возможности повышения квалификации;</w:t>
      </w:r>
    </w:p>
    <w:p w:rsidR="007201E3" w:rsidRDefault="007201E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своевременное присвоение категорий по итогам прохождения курсов повышения квалификации и результатов работы.</w:t>
      </w:r>
    </w:p>
    <w:p w:rsidR="007201E3" w:rsidRDefault="007201E3">
      <w:pPr>
        <w:pStyle w:val="a3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7201E3" w:rsidRDefault="007201E3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4. Основные меры правового регулирования в сфере реализации</w:t>
      </w:r>
    </w:p>
    <w:p w:rsidR="007201E3" w:rsidRDefault="007201E3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Муниципальной программы</w:t>
      </w:r>
    </w:p>
    <w:p w:rsidR="007201E3" w:rsidRDefault="007201E3">
      <w:pPr>
        <w:pStyle w:val="a3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настоящее время сформирована и утверждена нормативная правовая база, необходимая для реализации Муниципальной программы. В дальнейшем разработка дополнительных нормативных правовых актов будет обусловлена изменениями законодательства Российской Федерации, Кировской области и муниципальных правовых актов.</w:t>
      </w:r>
    </w:p>
    <w:p w:rsidR="007201E3" w:rsidRDefault="007201E3">
      <w:pPr>
        <w:pStyle w:val="a3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7201E3" w:rsidRDefault="007201E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7201E3" w:rsidRDefault="007201E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7201E3" w:rsidRDefault="007201E3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Муниципальной программы в 2014-2016 годах составляет 2518,7 тыс. рублей, в том числе за счет средств:</w:t>
      </w:r>
    </w:p>
    <w:p w:rsidR="007201E3" w:rsidRDefault="007201E3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7201E3" w:rsidRDefault="007201E3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 ;</w:t>
      </w:r>
    </w:p>
    <w:p w:rsidR="007201E3" w:rsidRDefault="007201E3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бюджета муниципального образования 2488,7 тыс. рублей;</w:t>
      </w:r>
    </w:p>
    <w:p w:rsidR="007201E3" w:rsidRDefault="007201E3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30,0 тыс. рублей.</w:t>
      </w:r>
    </w:p>
    <w:p w:rsidR="007201E3" w:rsidRDefault="007201E3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7201E3" w:rsidRDefault="007201E3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7201E3" w:rsidRDefault="007201E3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</w:p>
    <w:p w:rsidR="007201E3" w:rsidRDefault="007201E3">
      <w:pPr>
        <w:pStyle w:val="a3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7201E3" w:rsidRDefault="007201E3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6. Анализ рисков реализации Муниципальной программы </w:t>
      </w:r>
    </w:p>
    <w:p w:rsidR="007201E3" w:rsidRDefault="007201E3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 описание мер управления рисками</w:t>
      </w:r>
    </w:p>
    <w:p w:rsidR="007201E3" w:rsidRDefault="007201E3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7201E3" w:rsidRDefault="007201E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достижения целей и конечных результатов Муниципальной программы отделом социальных отношений администрации Тужинского муниципального района будет осуществляться координация деятельности всех субъектов, участвующих в реализации Муниципальной программы, а также работа, направленная на своевременное выявление и предотвращение или снижение рисков, которые способны помешать полной и (или) своевременной реализации Муниципальной программы. </w:t>
      </w:r>
    </w:p>
    <w:p w:rsidR="007201E3" w:rsidRDefault="007201E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рискам реализации Муниципальной программы можно отнести следующие:</w:t>
      </w:r>
    </w:p>
    <w:p w:rsidR="007201E3" w:rsidRDefault="007201E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6.1. Нормативно-правовой риск, связанный с отсутствием законодательного регулирования или недостаточно быстрым формированием необходимой нормативной базы, что может привести к невыполнению Муниципальной программы в полном объёме. Данный риск можно оценить как средний. Мерой предупреждения данного риска служит система мониторинга действующего законодательства и проектов нормативно-правовых документов, находящихся на рассмотрении, что позволит снизить влияние данного риска на результативность Муниципальной программы.</w:t>
      </w:r>
    </w:p>
    <w:p w:rsidR="007201E3" w:rsidRDefault="007201E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6.2. Риск финансового обеспечения, который связан с финансированием Муниципальной программы в неполном объёме как за счет бюджетных, так и за счет внебюджетных источников. Учитывая формируемую практику программного бюджетирования в части обеспечения реализации Муниципальной программы за счет средств бюджетов. а также меры по созданию условий для привлечения средств внебюджетных источников. риск сбоев в реализации Муниципальной программы по причине недофинансирования можно считать высоким.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мероприятий, </w:t>
      </w:r>
      <w:r>
        <w:rPr>
          <w:rFonts w:ascii="Times New Roman" w:hAnsi="Times New Roman"/>
          <w:sz w:val="28"/>
          <w:szCs w:val="24"/>
        </w:rPr>
        <w:lastRenderedPageBreak/>
        <w:t>что позволит обеспечить выполнение обязательств каждого участника мероприятий.</w:t>
      </w:r>
    </w:p>
    <w:p w:rsidR="007201E3" w:rsidRDefault="007201E3">
      <w:pPr>
        <w:pStyle w:val="a3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7201E3" w:rsidRDefault="007201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Методика оценки эффективности реализации </w:t>
      </w:r>
    </w:p>
    <w:p w:rsidR="007201E3" w:rsidRDefault="007201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Муниципальной  программы</w:t>
      </w:r>
    </w:p>
    <w:p w:rsidR="007201E3" w:rsidRDefault="007201E3">
      <w:pPr>
        <w:pStyle w:val="ConsPlusNormal"/>
        <w:ind w:firstLine="540"/>
        <w:jc w:val="both"/>
        <w:rPr>
          <w:sz w:val="28"/>
        </w:rPr>
      </w:pPr>
    </w:p>
    <w:p w:rsidR="007201E3" w:rsidRDefault="007201E3">
      <w:pPr>
        <w:pStyle w:val="2"/>
      </w:pPr>
      <w: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программы, а также с учетом объема ресурсов, направленных на реализацию Муниципальной программы.</w:t>
      </w:r>
    </w:p>
    <w:p w:rsidR="007201E3" w:rsidRDefault="007201E3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Оценка достижения показателей эффективности реализации Муниципальной программы осуществляется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и рассчитывается по формуле:</w:t>
      </w:r>
    </w:p>
    <w:p w:rsidR="007201E3" w:rsidRDefault="00CF1BD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П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эф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40"/>
                      <w:szCs w:val="40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n</m:t>
              </m:r>
            </m:den>
          </m:f>
        </m:oMath>
      </m:oMathPara>
    </w:p>
    <w:p w:rsidR="007201E3" w:rsidRDefault="007201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201E3" w:rsidRDefault="007201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где: П</w:t>
      </w:r>
      <w:r>
        <w:rPr>
          <w:rFonts w:ascii="Times New Roman" w:hAnsi="Times New Roman" w:cs="Times New Roman"/>
          <w:sz w:val="28"/>
          <w:szCs w:val="24"/>
          <w:vertAlign w:val="subscript"/>
        </w:rPr>
        <w:t>эф</w:t>
      </w:r>
      <w:r>
        <w:rPr>
          <w:rFonts w:ascii="Times New Roman" w:hAnsi="Times New Roman" w:cs="Times New Roman"/>
          <w:sz w:val="28"/>
          <w:szCs w:val="24"/>
        </w:rPr>
        <w:t xml:space="preserve"> - степень достижения показателей эффективности реализации Муниципальной программы (в долях единицы);</w:t>
      </w:r>
    </w:p>
    <w:p w:rsidR="007201E3" w:rsidRDefault="007201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4"/>
        </w:rPr>
        <w:t xml:space="preserve"> - степень  достижения i-го  показателя  эффективности  реализации</w:t>
      </w:r>
    </w:p>
    <w:p w:rsidR="007201E3" w:rsidRDefault="007201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Муниципальной  программы (в долях единицы);</w:t>
      </w:r>
    </w:p>
    <w:p w:rsidR="007201E3" w:rsidRDefault="007201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n - количество показателей эффективности реализации Муниципальной программы.</w:t>
      </w:r>
    </w:p>
    <w:p w:rsidR="007201E3" w:rsidRDefault="007201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Степень достижения i-го показателя эффективности реализации муниципальной программы рассчитывается по следующим формулам:</w:t>
      </w:r>
    </w:p>
    <w:p w:rsidR="007201E3" w:rsidRDefault="007201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для показателей, желаемой тенденцией развития которых является рост значений:</w:t>
      </w:r>
    </w:p>
    <w:p w:rsidR="007201E3" w:rsidRDefault="00CF1BD5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П</m:t>
              </m:r>
            </m:e>
            <m:sub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пл</m:t>
                  </m:r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den>
          </m:f>
        </m:oMath>
      </m:oMathPara>
    </w:p>
    <w:p w:rsidR="007201E3" w:rsidRDefault="007201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201E3" w:rsidRDefault="007201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для показателей, желаемой тенденцией развития которых является снижение значений:</w:t>
      </w:r>
    </w:p>
    <w:p w:rsidR="007201E3" w:rsidRDefault="00CF1BD5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8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П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i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пл</m:t>
                  </m:r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den>
          </m:f>
        </m:oMath>
      </m:oMathPara>
    </w:p>
    <w:p w:rsidR="007201E3" w:rsidRDefault="007201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где: П</w:t>
      </w:r>
      <w:r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4"/>
        </w:rPr>
        <w:t xml:space="preserve"> - степень  достижения  i-го  показателя  эффективности  реализации Муниципальной программы (в долях единицы);</w:t>
      </w:r>
    </w:p>
    <w:p w:rsidR="007201E3" w:rsidRDefault="007201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</w:t>
      </w:r>
      <w:r>
        <w:rPr>
          <w:rFonts w:ascii="Times New Roman" w:hAnsi="Times New Roman" w:cs="Times New Roman"/>
          <w:sz w:val="28"/>
          <w:szCs w:val="24"/>
          <w:vertAlign w:val="subscript"/>
        </w:rPr>
        <w:t>пл</w:t>
      </w:r>
      <w:r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4"/>
        </w:rPr>
        <w:t xml:space="preserve"> - фактическое  значение  i-го показателя эффективности реализации Муниципальной программы (в соответствующих единицах измерения);</w:t>
      </w:r>
    </w:p>
    <w:p w:rsidR="007201E3" w:rsidRDefault="007201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  <w:vertAlign w:val="subscript"/>
        </w:rPr>
        <w:t>ф</w:t>
      </w:r>
      <w:r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4"/>
        </w:rPr>
        <w:t xml:space="preserve"> - плановое  значение  i-го  показателя  эффективности реализации Муниципальной программы (в соответствующих единицах измерения).</w:t>
      </w:r>
    </w:p>
    <w:p w:rsidR="007201E3" w:rsidRDefault="007201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случае, если значения показателей эффективности являются относительными (выражаются в процентах), при расчете эти показатели отражаются в долях единицы).</w:t>
      </w:r>
    </w:p>
    <w:p w:rsidR="007201E3" w:rsidRDefault="007201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Оценка объема ресурсов, направленных на реализацию Муниципальной программы, определяется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формуле:</w:t>
      </w:r>
    </w:p>
    <w:p w:rsidR="007201E3" w:rsidRDefault="00CF1BD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Ф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 xml:space="preserve">коэф 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 xml:space="preserve">Ф   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пл</m:t>
                  </m:r>
                </m:sub>
              </m:sSub>
            </m:den>
          </m:f>
        </m:oMath>
      </m:oMathPara>
    </w:p>
    <w:p w:rsidR="007201E3" w:rsidRDefault="007201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201E3" w:rsidRDefault="007201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где: Ф</w:t>
      </w:r>
      <w:r>
        <w:rPr>
          <w:rFonts w:ascii="Times New Roman" w:hAnsi="Times New Roman" w:cs="Times New Roman"/>
          <w:sz w:val="28"/>
          <w:szCs w:val="24"/>
          <w:vertAlign w:val="subscript"/>
        </w:rPr>
        <w:t>коэф</w:t>
      </w:r>
      <w:r>
        <w:rPr>
          <w:rFonts w:ascii="Times New Roman" w:hAnsi="Times New Roman" w:cs="Times New Roman"/>
          <w:sz w:val="28"/>
          <w:szCs w:val="24"/>
        </w:rPr>
        <w:t xml:space="preserve"> - оценка объема ресурсов, направленных на реализацию Муниципальной программы в целом (в долях единицы);</w:t>
      </w:r>
    </w:p>
    <w:p w:rsidR="007201E3" w:rsidRDefault="007201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</w:t>
      </w:r>
      <w:r>
        <w:rPr>
          <w:rFonts w:ascii="Times New Roman" w:hAnsi="Times New Roman" w:cs="Times New Roman"/>
          <w:sz w:val="28"/>
          <w:szCs w:val="24"/>
          <w:vertAlign w:val="subscript"/>
        </w:rPr>
        <w:t>ф</w:t>
      </w:r>
      <w:r>
        <w:rPr>
          <w:rFonts w:ascii="Times New Roman" w:hAnsi="Times New Roman" w:cs="Times New Roman"/>
          <w:sz w:val="28"/>
          <w:szCs w:val="24"/>
        </w:rPr>
        <w:t xml:space="preserve"> - фактический объем финансовых ресурсов за счет всех источников финансирования, направленный в отчетном периоде на реализацию мероприятий Муниципальной программы (тыс. рублей);</w:t>
      </w:r>
    </w:p>
    <w:p w:rsidR="007201E3" w:rsidRDefault="007201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</w:t>
      </w:r>
      <w:r>
        <w:rPr>
          <w:rFonts w:ascii="Times New Roman" w:hAnsi="Times New Roman" w:cs="Times New Roman"/>
          <w:sz w:val="28"/>
          <w:szCs w:val="24"/>
          <w:vertAlign w:val="subscript"/>
        </w:rPr>
        <w:t>пл</w:t>
      </w:r>
      <w:r>
        <w:rPr>
          <w:rFonts w:ascii="Times New Roman" w:hAnsi="Times New Roman" w:cs="Times New Roman"/>
          <w:sz w:val="28"/>
          <w:szCs w:val="24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Муниципальной программой (тыс. рублей).</w:t>
      </w:r>
    </w:p>
    <w:p w:rsidR="007201E3" w:rsidRDefault="007201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Оценка эффективности реализации Муниципальной программы рассчитывается по формуле:</w:t>
      </w:r>
    </w:p>
    <w:p w:rsidR="007201E3" w:rsidRDefault="00CF1BD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Э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пр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эф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коэф</m:t>
                  </m:r>
                </m:sub>
              </m:sSub>
            </m:den>
          </m:f>
        </m:oMath>
      </m:oMathPara>
    </w:p>
    <w:p w:rsidR="007201E3" w:rsidRDefault="007201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201E3" w:rsidRDefault="007201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где: Э</w:t>
      </w:r>
      <w:r>
        <w:rPr>
          <w:rFonts w:ascii="Times New Roman" w:hAnsi="Times New Roman" w:cs="Times New Roman"/>
          <w:sz w:val="28"/>
          <w:szCs w:val="24"/>
          <w:vertAlign w:val="subscript"/>
        </w:rPr>
        <w:t>пр</w:t>
      </w:r>
      <w:r>
        <w:rPr>
          <w:rFonts w:ascii="Times New Roman" w:hAnsi="Times New Roman" w:cs="Times New Roman"/>
          <w:sz w:val="28"/>
          <w:szCs w:val="24"/>
        </w:rPr>
        <w:t xml:space="preserve"> - оценка эффективности реализации Муниципальной программы (в долях единицы);</w:t>
      </w:r>
    </w:p>
    <w:p w:rsidR="007201E3" w:rsidRDefault="007201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  <w:vertAlign w:val="subscript"/>
        </w:rPr>
        <w:t>эф</w:t>
      </w:r>
      <w:r>
        <w:rPr>
          <w:rFonts w:ascii="Times New Roman" w:hAnsi="Times New Roman" w:cs="Times New Roman"/>
          <w:sz w:val="28"/>
          <w:szCs w:val="24"/>
        </w:rPr>
        <w:t xml:space="preserve"> - степень достижения показателей эффективности реализации Муниципальной программы (в долях единицы);</w:t>
      </w:r>
    </w:p>
    <w:p w:rsidR="007201E3" w:rsidRDefault="007201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</w:t>
      </w:r>
      <w:r>
        <w:rPr>
          <w:rFonts w:ascii="Times New Roman" w:hAnsi="Times New Roman" w:cs="Times New Roman"/>
          <w:sz w:val="28"/>
          <w:szCs w:val="24"/>
          <w:vertAlign w:val="subscript"/>
        </w:rPr>
        <w:t>коэф</w:t>
      </w:r>
      <w:r>
        <w:rPr>
          <w:rFonts w:ascii="Times New Roman" w:hAnsi="Times New Roman" w:cs="Times New Roman"/>
          <w:sz w:val="28"/>
          <w:szCs w:val="24"/>
        </w:rPr>
        <w:t xml:space="preserve"> - уровень финансирования Муниципальной программы в целом (в долях единицы).</w:t>
      </w:r>
    </w:p>
    <w:p w:rsidR="007201E3" w:rsidRDefault="007201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целях оценки эффективности реализации Муниципальной программы устанавливаются следующие критерии:</w:t>
      </w:r>
    </w:p>
    <w:p w:rsidR="007201E3" w:rsidRDefault="007201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если  значение  показателя Э</w:t>
      </w:r>
      <w:r>
        <w:rPr>
          <w:rFonts w:ascii="Times New Roman" w:hAnsi="Times New Roman" w:cs="Times New Roman"/>
          <w:sz w:val="28"/>
          <w:szCs w:val="24"/>
          <w:vertAlign w:val="subscript"/>
        </w:rPr>
        <w:t>пр</w:t>
      </w:r>
      <w:r>
        <w:rPr>
          <w:rFonts w:ascii="Times New Roman" w:hAnsi="Times New Roman" w:cs="Times New Roman"/>
          <w:sz w:val="28"/>
          <w:szCs w:val="24"/>
        </w:rPr>
        <w:t xml:space="preserve"> от 0,8 до 1,0 и выше, то эффективность реализации Муниципальной программы оценивается как высокая;</w:t>
      </w:r>
    </w:p>
    <w:p w:rsidR="007201E3" w:rsidRDefault="007201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если значение показателя Э</w:t>
      </w:r>
      <w:r>
        <w:rPr>
          <w:rFonts w:ascii="Times New Roman" w:hAnsi="Times New Roman" w:cs="Times New Roman"/>
          <w:sz w:val="28"/>
          <w:szCs w:val="24"/>
          <w:vertAlign w:val="subscript"/>
        </w:rPr>
        <w:t>пр</w:t>
      </w:r>
      <w:r>
        <w:rPr>
          <w:rFonts w:ascii="Times New Roman" w:hAnsi="Times New Roman" w:cs="Times New Roman"/>
          <w:sz w:val="28"/>
          <w:szCs w:val="24"/>
        </w:rPr>
        <w:t xml:space="preserve"> от 0,7 до 0,8, то такая эффективность </w:t>
      </w:r>
      <w:r>
        <w:rPr>
          <w:rFonts w:ascii="Times New Roman" w:hAnsi="Times New Roman" w:cs="Times New Roman"/>
          <w:sz w:val="28"/>
          <w:szCs w:val="24"/>
        </w:rPr>
        <w:lastRenderedPageBreak/>
        <w:t>реализации Муниципальной программы оценивается как средняя;</w:t>
      </w:r>
    </w:p>
    <w:p w:rsidR="007201E3" w:rsidRDefault="007201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если значение показателя Э</w:t>
      </w:r>
      <w:r>
        <w:rPr>
          <w:rFonts w:ascii="Times New Roman" w:hAnsi="Times New Roman" w:cs="Times New Roman"/>
          <w:sz w:val="28"/>
          <w:szCs w:val="24"/>
          <w:vertAlign w:val="subscript"/>
        </w:rPr>
        <w:t>пр</w:t>
      </w:r>
      <w:r>
        <w:rPr>
          <w:rFonts w:ascii="Times New Roman" w:hAnsi="Times New Roman" w:cs="Times New Roman"/>
          <w:sz w:val="28"/>
          <w:szCs w:val="24"/>
        </w:rPr>
        <w:t xml:space="preserve"> ниже 0,7, то такая эффективность реализации Муниципальной программы оценивается как низкая.</w:t>
      </w:r>
    </w:p>
    <w:p w:rsidR="007201E3" w:rsidRDefault="007201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Ожидаемый бюджетный эффект от реализации Муниципальной программы выражается в повышении эффективности расходования бюджетных средств за счет сокращения неэффективных расходов.</w:t>
      </w:r>
    </w:p>
    <w:p w:rsidR="007201E3" w:rsidRDefault="007201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Сокращения неэффективных расходов планируется достичь за счет координирующей деятельности ответственных исполнителей.</w:t>
      </w:r>
    </w:p>
    <w:p w:rsidR="007201E3" w:rsidRDefault="007201E3">
      <w:pPr>
        <w:pStyle w:val="2"/>
        <w:widowControl w:val="0"/>
        <w:autoSpaceDE w:val="0"/>
        <w:autoSpaceDN w:val="0"/>
        <w:adjustRightInd w:val="0"/>
      </w:pPr>
      <w:r>
        <w:t>Ежегодно ответственным исполнителем осуществляется оценка эффективности реализации Муниципальной программы, и в срок до 1 марта года, следующего за отчетным, годовой отчет о ходе реализации и оценке эффективности реализации Муниципальной программы представляется в отдел по экономике и прогнозированию, финансовое управление.</w:t>
      </w:r>
    </w:p>
    <w:p w:rsidR="007201E3" w:rsidRDefault="007201E3"/>
    <w:p w:rsidR="007201E3" w:rsidRDefault="007201E3">
      <w:pPr>
        <w:pStyle w:val="a3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7201E3" w:rsidRDefault="007201E3">
      <w:pPr>
        <w:pStyle w:val="a3"/>
        <w:ind w:left="0" w:firstLine="70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</w:t>
      </w:r>
    </w:p>
    <w:p w:rsidR="007201E3" w:rsidRDefault="007201E3">
      <w:pPr>
        <w:pStyle w:val="a3"/>
        <w:ind w:left="0" w:firstLine="708"/>
        <w:jc w:val="center"/>
        <w:rPr>
          <w:rFonts w:ascii="Times New Roman" w:hAnsi="Times New Roman"/>
          <w:sz w:val="28"/>
          <w:szCs w:val="24"/>
        </w:rPr>
        <w:sectPr w:rsidR="007201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1E3" w:rsidRDefault="007201E3">
      <w:pPr>
        <w:pStyle w:val="a3"/>
        <w:ind w:left="0" w:firstLine="708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 № 1 к Муниципальной программе</w:t>
      </w:r>
      <w:r>
        <w:rPr>
          <w:rFonts w:ascii="Times New Roman" w:hAnsi="Times New Roman"/>
          <w:sz w:val="28"/>
          <w:szCs w:val="24"/>
        </w:rPr>
        <w:tab/>
      </w:r>
    </w:p>
    <w:p w:rsidR="007201E3" w:rsidRDefault="007201E3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Сведения о целевых показателях эффективности реализации Муниципальной программы</w:t>
      </w:r>
    </w:p>
    <w:p w:rsidR="007201E3" w:rsidRDefault="007201E3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7334"/>
        <w:gridCol w:w="1896"/>
        <w:gridCol w:w="1554"/>
        <w:gridCol w:w="1554"/>
        <w:gridCol w:w="1349"/>
      </w:tblGrid>
      <w:tr w:rsidR="007201E3">
        <w:trPr>
          <w:cantSplit/>
        </w:trPr>
        <w:tc>
          <w:tcPr>
            <w:tcW w:w="817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</w:p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7371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показателя эффективности Программы</w:t>
            </w:r>
          </w:p>
        </w:tc>
        <w:tc>
          <w:tcPr>
            <w:tcW w:w="1843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Единица измерения</w:t>
            </w:r>
          </w:p>
        </w:tc>
        <w:tc>
          <w:tcPr>
            <w:tcW w:w="4471" w:type="dxa"/>
            <w:gridSpan w:val="3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показатели</w:t>
            </w:r>
          </w:p>
        </w:tc>
      </w:tr>
      <w:tr w:rsidR="007201E3">
        <w:trPr>
          <w:cantSplit/>
        </w:trPr>
        <w:tc>
          <w:tcPr>
            <w:tcW w:w="817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71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</w:t>
            </w:r>
          </w:p>
        </w:tc>
        <w:tc>
          <w:tcPr>
            <w:tcW w:w="1559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</w:t>
            </w:r>
          </w:p>
        </w:tc>
        <w:tc>
          <w:tcPr>
            <w:tcW w:w="135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</w:t>
            </w:r>
          </w:p>
        </w:tc>
      </w:tr>
      <w:tr w:rsidR="007201E3">
        <w:tc>
          <w:tcPr>
            <w:tcW w:w="81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7371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Обеспеченность спортивными залами</w:t>
            </w:r>
          </w:p>
        </w:tc>
        <w:tc>
          <w:tcPr>
            <w:tcW w:w="184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тыс.кв.метров на 10 тыс. человек</w:t>
            </w:r>
          </w:p>
        </w:tc>
        <w:tc>
          <w:tcPr>
            <w:tcW w:w="1559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3,32</w:t>
            </w:r>
          </w:p>
        </w:tc>
        <w:tc>
          <w:tcPr>
            <w:tcW w:w="1559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3,33</w:t>
            </w:r>
          </w:p>
        </w:tc>
        <w:tc>
          <w:tcPr>
            <w:tcW w:w="135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3,33</w:t>
            </w:r>
          </w:p>
        </w:tc>
      </w:tr>
      <w:tr w:rsidR="007201E3">
        <w:tc>
          <w:tcPr>
            <w:tcW w:w="81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7371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Обеспеченность плоскостными сооружениями</w:t>
            </w:r>
          </w:p>
        </w:tc>
        <w:tc>
          <w:tcPr>
            <w:tcW w:w="184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тыс.кв.метров на 10 тыс. человек</w:t>
            </w:r>
          </w:p>
        </w:tc>
        <w:tc>
          <w:tcPr>
            <w:tcW w:w="1559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76,3</w:t>
            </w:r>
          </w:p>
        </w:tc>
        <w:tc>
          <w:tcPr>
            <w:tcW w:w="1559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76,4</w:t>
            </w:r>
          </w:p>
        </w:tc>
        <w:tc>
          <w:tcPr>
            <w:tcW w:w="135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76,5</w:t>
            </w:r>
          </w:p>
        </w:tc>
      </w:tr>
      <w:tr w:rsidR="007201E3">
        <w:tc>
          <w:tcPr>
            <w:tcW w:w="81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7371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вес населения, систематически занимающегося физкультурой и спортом</w:t>
            </w:r>
          </w:p>
        </w:tc>
        <w:tc>
          <w:tcPr>
            <w:tcW w:w="184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процентов</w:t>
            </w:r>
          </w:p>
        </w:tc>
        <w:tc>
          <w:tcPr>
            <w:tcW w:w="1559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26,0</w:t>
            </w:r>
          </w:p>
        </w:tc>
        <w:tc>
          <w:tcPr>
            <w:tcW w:w="1559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26,5</w:t>
            </w:r>
          </w:p>
        </w:tc>
        <w:tc>
          <w:tcPr>
            <w:tcW w:w="135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27,0</w:t>
            </w:r>
          </w:p>
        </w:tc>
      </w:tr>
      <w:tr w:rsidR="007201E3">
        <w:tc>
          <w:tcPr>
            <w:tcW w:w="81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7371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Среднегодовая численность детей и подростков, занимающихся в учреждениях дополнительного образования спортивной направленности (ДЮСШ)</w:t>
            </w:r>
          </w:p>
        </w:tc>
        <w:tc>
          <w:tcPr>
            <w:tcW w:w="184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человек</w:t>
            </w:r>
          </w:p>
        </w:tc>
        <w:tc>
          <w:tcPr>
            <w:tcW w:w="1559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</w:t>
            </w:r>
          </w:p>
        </w:tc>
        <w:tc>
          <w:tcPr>
            <w:tcW w:w="1559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</w:t>
            </w:r>
          </w:p>
        </w:tc>
        <w:tc>
          <w:tcPr>
            <w:tcW w:w="135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</w:t>
            </w:r>
          </w:p>
        </w:tc>
      </w:tr>
      <w:tr w:rsidR="007201E3">
        <w:tc>
          <w:tcPr>
            <w:tcW w:w="81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7371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физкультурных и спортивно-массовых мероприятий, проводимых на территории района в год</w:t>
            </w:r>
          </w:p>
        </w:tc>
        <w:tc>
          <w:tcPr>
            <w:tcW w:w="184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</w:t>
            </w:r>
          </w:p>
        </w:tc>
        <w:tc>
          <w:tcPr>
            <w:tcW w:w="1559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559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35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</w:tr>
      <w:tr w:rsidR="007201E3">
        <w:tc>
          <w:tcPr>
            <w:tcW w:w="81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7371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реконструированных и вновь построенных спортивных объектов</w:t>
            </w:r>
          </w:p>
        </w:tc>
        <w:tc>
          <w:tcPr>
            <w:tcW w:w="184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</w:t>
            </w:r>
          </w:p>
        </w:tc>
        <w:tc>
          <w:tcPr>
            <w:tcW w:w="1559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5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201E3">
        <w:tc>
          <w:tcPr>
            <w:tcW w:w="81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7371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Доля занимающихся, которые имеют 1 взрослый разряд и выше от количества обучающихся в учебно-тренировочных группах </w:t>
            </w:r>
          </w:p>
        </w:tc>
        <w:tc>
          <w:tcPr>
            <w:tcW w:w="184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559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 15</w:t>
            </w:r>
          </w:p>
        </w:tc>
        <w:tc>
          <w:tcPr>
            <w:tcW w:w="1559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 15</w:t>
            </w:r>
          </w:p>
        </w:tc>
        <w:tc>
          <w:tcPr>
            <w:tcW w:w="135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 15</w:t>
            </w:r>
          </w:p>
        </w:tc>
      </w:tr>
    </w:tbl>
    <w:p w:rsidR="007201E3" w:rsidRDefault="007201E3">
      <w:pPr>
        <w:pStyle w:val="a3"/>
        <w:ind w:left="0" w:firstLine="708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 № 2 к Муниципальной программе</w:t>
      </w:r>
      <w:r>
        <w:rPr>
          <w:rFonts w:ascii="Times New Roman" w:hAnsi="Times New Roman"/>
          <w:sz w:val="28"/>
          <w:szCs w:val="24"/>
        </w:rPr>
        <w:tab/>
      </w:r>
    </w:p>
    <w:p w:rsidR="007201E3" w:rsidRDefault="007201E3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Перечень мероприятий Муниципальной программы</w:t>
      </w:r>
    </w:p>
    <w:p w:rsidR="007201E3" w:rsidRDefault="007201E3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«Развитие физической культуры и спорта» на 2014-2016 годы.</w:t>
      </w:r>
    </w:p>
    <w:p w:rsidR="007201E3" w:rsidRDefault="007201E3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3077"/>
        <w:gridCol w:w="1533"/>
        <w:gridCol w:w="1398"/>
        <w:gridCol w:w="1397"/>
        <w:gridCol w:w="1530"/>
        <w:gridCol w:w="2219"/>
      </w:tblGrid>
      <w:tr w:rsidR="007201E3">
        <w:trPr>
          <w:cantSplit/>
        </w:trPr>
        <w:tc>
          <w:tcPr>
            <w:tcW w:w="3348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Задача</w:t>
            </w:r>
          </w:p>
        </w:tc>
        <w:tc>
          <w:tcPr>
            <w:tcW w:w="3077" w:type="dxa"/>
            <w:vMerge w:val="restart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 финансирования</w:t>
            </w:r>
          </w:p>
        </w:tc>
        <w:tc>
          <w:tcPr>
            <w:tcW w:w="4328" w:type="dxa"/>
            <w:gridSpan w:val="3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 (тыс. рублей)</w:t>
            </w:r>
          </w:p>
        </w:tc>
        <w:tc>
          <w:tcPr>
            <w:tcW w:w="1530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2219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 исполнителей</w:t>
            </w: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  <w:vMerge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</w:t>
            </w:r>
          </w:p>
        </w:tc>
        <w:tc>
          <w:tcPr>
            <w:tcW w:w="1530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c>
          <w:tcPr>
            <w:tcW w:w="14502" w:type="dxa"/>
            <w:gridSpan w:val="7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№1. Укрепление материально-технической базы для занятий физической культурой и спортом, за счёт строительства новых и реконструкции имеющихся спортивных объектов</w:t>
            </w:r>
          </w:p>
        </w:tc>
      </w:tr>
      <w:tr w:rsidR="007201E3">
        <w:trPr>
          <w:cantSplit/>
        </w:trPr>
        <w:tc>
          <w:tcPr>
            <w:tcW w:w="3348" w:type="dxa"/>
            <w:vMerge w:val="restart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Проектирование и строительство универсальных спортивных площадок на территории района</w:t>
            </w: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 w:val="restart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Подготовка лыжных трасс</w:t>
            </w: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 ДОД ДЮСШ п. Тужа</w:t>
            </w: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 w:val="restart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3. Реконструкция стадиона </w:t>
            </w:r>
            <w:r>
              <w:rPr>
                <w:rFonts w:ascii="Times New Roman" w:hAnsi="Times New Roman"/>
                <w:sz w:val="28"/>
              </w:rPr>
              <w:lastRenderedPageBreak/>
              <w:t>в пгт Тужа</w:t>
            </w: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</w:t>
            </w:r>
            <w:r>
              <w:rPr>
                <w:rFonts w:ascii="Times New Roman" w:hAnsi="Times New Roman"/>
                <w:sz w:val="28"/>
              </w:rPr>
              <w:lastRenderedPageBreak/>
              <w:t>администрации Тужинского муниципального района</w:t>
            </w: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>*500,0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>*500,0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>*1000,0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 w:val="restart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4. Ремонт КСК д. Греково</w:t>
            </w: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администрация Грековского с/п</w:t>
            </w: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*500,0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*500,0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510,0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1010,0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1530,0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c>
          <w:tcPr>
            <w:tcW w:w="14502" w:type="dxa"/>
            <w:gridSpan w:val="7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2. Развитие массового спорта среди различных категорий и групп населения, в том числе в образовательных учреждениях</w:t>
            </w:r>
          </w:p>
        </w:tc>
      </w:tr>
      <w:tr w:rsidR="007201E3">
        <w:trPr>
          <w:cantSplit/>
        </w:trPr>
        <w:tc>
          <w:tcPr>
            <w:tcW w:w="3348" w:type="dxa"/>
            <w:vMerge w:val="restart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1. Проведение районных соревнований, районной </w:t>
            </w:r>
            <w:r>
              <w:rPr>
                <w:rFonts w:ascii="Times New Roman" w:hAnsi="Times New Roman"/>
                <w:sz w:val="28"/>
              </w:rPr>
              <w:lastRenderedPageBreak/>
              <w:t>спартакиады общеобразовательных учреждений, участие в районных и областных соревнованиях</w:t>
            </w: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</w:t>
            </w:r>
            <w:r>
              <w:rPr>
                <w:rFonts w:ascii="Times New Roman" w:hAnsi="Times New Roman"/>
                <w:sz w:val="28"/>
              </w:rPr>
              <w:lastRenderedPageBreak/>
              <w:t>администрации Тужинского муниципального района</w:t>
            </w: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35,0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35,0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35,0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105,0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 w:val="restart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Проведение спортивно-массовых мероприятий, спартакиад по месту жительства, участие в областных соревнованиях</w:t>
            </w: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90,0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 w:val="restart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Физкультурно-массовые мероприятия среди людей с ограниченными возможностями, участие в областных фестивалях «Надежда», «Улыбка»</w:t>
            </w: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 w:val="restart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4. Физкультурно-массовые мероприятия среди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ветеранов, участие в соревнованиях различного уровня </w:t>
            </w: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</w:t>
            </w:r>
            <w:r>
              <w:rPr>
                <w:rFonts w:ascii="Times New Roman" w:hAnsi="Times New Roman"/>
                <w:sz w:val="28"/>
              </w:rPr>
              <w:lastRenderedPageBreak/>
              <w:t>администрации Тужинского муниципального района</w:t>
            </w: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 w:val="restart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5. Проведение районных 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Тужинского муниципального</w:t>
            </w: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120,0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120,0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120,0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360,0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205,0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205,0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205,0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615,0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c>
          <w:tcPr>
            <w:tcW w:w="14502" w:type="dxa"/>
            <w:gridSpan w:val="7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3. Пропаганда физической культуры и здорового образа жизни</w:t>
            </w:r>
          </w:p>
        </w:tc>
      </w:tr>
      <w:tr w:rsidR="007201E3">
        <w:trPr>
          <w:cantSplit/>
        </w:trPr>
        <w:tc>
          <w:tcPr>
            <w:tcW w:w="3348" w:type="dxa"/>
            <w:vMerge w:val="restart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 1. Реклама </w:t>
            </w:r>
            <w:r>
              <w:rPr>
                <w:rFonts w:ascii="Times New Roman" w:hAnsi="Times New Roman"/>
                <w:sz w:val="28"/>
              </w:rPr>
              <w:lastRenderedPageBreak/>
              <w:t>и организация пропаганды ЗОЖ в СМИ</w:t>
            </w: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федеральный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социальных отношений администрации Тужинского муниципального района </w:t>
            </w: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25,0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 w:val="restart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Изготовление баннера спортивной тематики</w:t>
            </w: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 w:val="restart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 Организация и проведение районных спортивных праздников и массовых физкультурно-оздоровительных и спортивных мероприятий</w:t>
            </w: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35,0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25,0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c>
          <w:tcPr>
            <w:tcW w:w="14502" w:type="dxa"/>
            <w:gridSpan w:val="7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4. Оказание муниципальных услуг по предоставлению дополнительного образования в сфере физической культуры и спорта (услуги спортивной школы)</w:t>
            </w:r>
          </w:p>
        </w:tc>
      </w:tr>
      <w:tr w:rsidR="007201E3">
        <w:trPr>
          <w:cantSplit/>
        </w:trPr>
        <w:tc>
          <w:tcPr>
            <w:tcW w:w="3348" w:type="dxa"/>
            <w:vMerge w:val="restart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 Обеспечение деятельности учреждений дополнительного образования</w:t>
            </w: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c>
          <w:tcPr>
            <w:tcW w:w="14502" w:type="dxa"/>
            <w:gridSpan w:val="7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Задача № 5. Развитие детско-юношеского спорта (совершенствование подготовки спортивного резерва)</w:t>
            </w:r>
          </w:p>
        </w:tc>
      </w:tr>
      <w:tr w:rsidR="007201E3">
        <w:trPr>
          <w:cantSplit/>
        </w:trPr>
        <w:tc>
          <w:tcPr>
            <w:tcW w:w="3348" w:type="dxa"/>
            <w:vMerge w:val="restart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Мероприятие 1. Организация и проведение районных, областных соревнований на территории района, обеспечение выездных соревнований сильнейшими спортсменами и членами сборных команд района по видам спорта совместно со спортивной школой</w:t>
            </w: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90,0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94,5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99,2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283,7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90,0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94,5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99,2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283,7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14502" w:type="dxa"/>
            <w:gridSpan w:val="7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Задача 6. Сохранение кадрового потенциала спортивной школы</w:t>
            </w:r>
          </w:p>
        </w:tc>
      </w:tr>
      <w:tr w:rsidR="007201E3">
        <w:trPr>
          <w:cantSplit/>
        </w:trPr>
        <w:tc>
          <w:tcPr>
            <w:tcW w:w="3348" w:type="dxa"/>
            <w:vMerge w:val="restart"/>
            <w:tcBorders>
              <w:top w:val="single" w:sz="4" w:space="0" w:color="auto"/>
            </w:tcBorders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Мероприятие 1. Ежемесячные выплаты педагогическим работникам образовательных учреждений, имеющим высшую квалификационную категорию, в размере одной тысячи рублей.</w:t>
            </w: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 w:val="restart"/>
            <w:tcBorders>
              <w:top w:val="single" w:sz="4" w:space="0" w:color="auto"/>
            </w:tcBorders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 Ежемесячные выплаты педагогическим работникам образовательных учреждений (за исключением общеобразовательных учреждений) в размере одной тысячи рублей</w:t>
            </w: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МОУ ДОД ДЮСШ п. Тужа</w:t>
            </w: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разделу</w:t>
            </w: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ИТОГО по Программе</w:t>
            </w: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 w:val="restart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муниципального образования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305,0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844,5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1339,2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2488,7</w:t>
            </w:r>
          </w:p>
        </w:tc>
        <w:tc>
          <w:tcPr>
            <w:tcW w:w="2219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2219" w:type="dxa"/>
            <w:vMerge/>
            <w:tcBorders>
              <w:bottom w:val="single" w:sz="4" w:space="0" w:color="auto"/>
            </w:tcBorders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01E3">
        <w:trPr>
          <w:cantSplit/>
        </w:trPr>
        <w:tc>
          <w:tcPr>
            <w:tcW w:w="3348" w:type="dxa"/>
            <w:vMerge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7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1533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335,0</w:t>
            </w:r>
          </w:p>
        </w:tc>
        <w:tc>
          <w:tcPr>
            <w:tcW w:w="1398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844,5</w:t>
            </w:r>
          </w:p>
        </w:tc>
        <w:tc>
          <w:tcPr>
            <w:tcW w:w="1397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1339,2</w:t>
            </w:r>
          </w:p>
        </w:tc>
        <w:tc>
          <w:tcPr>
            <w:tcW w:w="1530" w:type="dxa"/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2518,7</w:t>
            </w:r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7201E3" w:rsidRDefault="007201E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7201E3" w:rsidRDefault="007201E3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7201E3" w:rsidRDefault="007201E3">
      <w:pPr>
        <w:pStyle w:val="a3"/>
        <w:ind w:left="0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*- при условии софинансирования из областного и федерального бюджетов</w:t>
      </w:r>
    </w:p>
    <w:p w:rsidR="007201E3" w:rsidRDefault="007201E3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_______________________ </w:t>
      </w:r>
    </w:p>
    <w:p w:rsidR="007201E3" w:rsidRDefault="007201E3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7201E3" w:rsidRDefault="007201E3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sectPr w:rsidR="007201E3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14691C"/>
    <w:rsid w:val="000B1268"/>
    <w:rsid w:val="0014691C"/>
    <w:rsid w:val="00167B93"/>
    <w:rsid w:val="001C6C32"/>
    <w:rsid w:val="00365955"/>
    <w:rsid w:val="00610CA4"/>
    <w:rsid w:val="0069688A"/>
    <w:rsid w:val="007201E3"/>
    <w:rsid w:val="00871F45"/>
    <w:rsid w:val="00CF1BD5"/>
    <w:rsid w:val="00F9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pPr>
      <w:ind w:left="720"/>
      <w:contextualSpacing/>
    </w:pPr>
  </w:style>
  <w:style w:type="character" w:customStyle="1" w:styleId="a4">
    <w:name w:val=" Знак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5">
    <w:name w:val="Balloon Text"/>
    <w:basedOn w:val="a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semiHidden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pPr>
      <w:widowControl w:val="0"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167B93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67B93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167B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5608</Words>
  <Characters>31970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admin</dc:creator>
  <cp:keywords/>
  <dc:description/>
  <cp:lastModifiedBy>Админ</cp:lastModifiedBy>
  <cp:revision>2</cp:revision>
  <cp:lastPrinted>2013-10-25T11:27:00Z</cp:lastPrinted>
  <dcterms:created xsi:type="dcterms:W3CDTF">2016-03-03T11:59:00Z</dcterms:created>
  <dcterms:modified xsi:type="dcterms:W3CDTF">2016-03-03T11:59:00Z</dcterms:modified>
</cp:coreProperties>
</file>